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F" w:rsidRPr="00A34DA3" w:rsidRDefault="007C13CA" w:rsidP="006150EF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150EF" w:rsidRPr="00A34DA3">
        <w:rPr>
          <w:rFonts w:asciiTheme="minorHAnsi" w:hAnsiTheme="minorHAnsi" w:cstheme="minorHAnsi"/>
          <w:sz w:val="22"/>
          <w:szCs w:val="22"/>
          <w:lang w:val="es-MX"/>
        </w:rPr>
        <w:t>Callao, 1</w:t>
      </w:r>
      <w:r w:rsidR="006150EF">
        <w:rPr>
          <w:rFonts w:asciiTheme="minorHAnsi" w:hAnsiTheme="minorHAnsi" w:cstheme="minorHAnsi"/>
          <w:sz w:val="22"/>
          <w:szCs w:val="22"/>
          <w:lang w:val="es-MX"/>
        </w:rPr>
        <w:t>9</w:t>
      </w:r>
      <w:r w:rsidR="006150EF"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6150EF" w:rsidRPr="00A34DA3" w:rsidRDefault="006150EF" w:rsidP="006150E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6150EF" w:rsidRPr="00A34DA3" w:rsidRDefault="006150EF" w:rsidP="006150E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6150EF" w:rsidRPr="00A34DA3" w:rsidRDefault="006150EF" w:rsidP="006150E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6150EF" w:rsidRPr="00A34DA3" w:rsidRDefault="006150EF" w:rsidP="006150E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6150EF" w:rsidRPr="00A34DA3" w:rsidRDefault="006150EF" w:rsidP="006150EF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>
        <w:rPr>
          <w:rFonts w:asciiTheme="minorHAnsi" w:hAnsiTheme="minorHAnsi" w:cstheme="minorHAnsi"/>
          <w:sz w:val="22"/>
          <w:szCs w:val="22"/>
          <w:lang w:val="es-MX"/>
        </w:rPr>
        <w:t>19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6150EF" w:rsidRPr="00A34DA3" w:rsidRDefault="006150EF" w:rsidP="006150EF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7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-2016-D/FCS.- Callao; 1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9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 w:rsidP="006150EF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</w:p>
    <w:p w:rsidR="006150EF" w:rsidRPr="00E6739E" w:rsidRDefault="006150EF" w:rsidP="006150E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426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-2016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DEPE de la 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con la antigua </w:t>
      </w:r>
      <w:proofErr w:type="spellStart"/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estudiantes de la Escuela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1215B2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1215B2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6150EF" w:rsidRPr="00E6739E" w:rsidRDefault="006150EF" w:rsidP="006150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>
        <w:rPr>
          <w:rFonts w:asciiTheme="minorHAnsi" w:hAnsiTheme="minorHAnsi" w:cstheme="minorHAnsi"/>
          <w:sz w:val="22"/>
          <w:szCs w:val="22"/>
          <w:lang w:val="es-PE"/>
        </w:rPr>
        <w:t>51/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CCC/FCS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>
        <w:rPr>
          <w:rFonts w:asciiTheme="minorHAnsi" w:hAnsiTheme="minorHAnsi" w:cstheme="minorHAnsi"/>
          <w:sz w:val="22"/>
          <w:szCs w:val="22"/>
          <w:lang w:val="es-PE"/>
        </w:rPr>
        <w:t>19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>
        <w:rPr>
          <w:rFonts w:asciiTheme="minorHAnsi" w:hAnsiTheme="minorHAnsi" w:cstheme="minorHAnsi"/>
          <w:sz w:val="22"/>
          <w:szCs w:val="22"/>
          <w:lang w:val="es-PE"/>
        </w:rPr>
        <w:t>octubre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2016, emitido por la Comisión de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con el quórum respectivo, opina favorable sobre el Cuadro de Adecuación Curricular de asignaturas de la antigua </w:t>
      </w:r>
      <w:proofErr w:type="spellStart"/>
      <w:r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1215B2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16"/>
          <w:szCs w:val="16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1215B2" w:rsidRDefault="0069781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6150E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2AB9">
        <w:rPr>
          <w:rFonts w:asciiTheme="minorHAnsi" w:hAnsiTheme="minorHAnsi" w:cstheme="minorHAnsi"/>
          <w:b/>
          <w:sz w:val="22"/>
          <w:szCs w:val="22"/>
        </w:rPr>
        <w:t>Aprobar la modificación del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</w:t>
      </w:r>
      <w:r w:rsidR="006C0483" w:rsidRPr="00E6739E">
        <w:rPr>
          <w:rFonts w:asciiTheme="minorHAnsi" w:hAnsiTheme="minorHAnsi" w:cstheme="minorHAnsi"/>
          <w:sz w:val="22"/>
          <w:szCs w:val="22"/>
        </w:rPr>
        <w:t>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la 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="006C0483"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5B2">
        <w:rPr>
          <w:rFonts w:asciiTheme="minorHAnsi" w:hAnsiTheme="minorHAnsi" w:cstheme="minorHAnsi"/>
          <w:b/>
          <w:sz w:val="22"/>
          <w:szCs w:val="22"/>
          <w:lang w:val="es-PE"/>
        </w:rPr>
        <w:t>JENNIFFER JANET HUAMANI CHICLLA</w:t>
      </w:r>
      <w:r w:rsidR="006C0483"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1215B2">
        <w:rPr>
          <w:rFonts w:asciiTheme="minorHAnsi" w:hAnsiTheme="minorHAnsi" w:cstheme="minorHAnsi"/>
          <w:bCs/>
          <w:sz w:val="22"/>
          <w:szCs w:val="22"/>
          <w:lang w:val="es-PE"/>
        </w:rPr>
        <w:t>1028120441</w:t>
      </w:r>
      <w:r w:rsidR="006C0483"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2711F0" w:rsidRDefault="002711F0" w:rsidP="002711F0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709"/>
        <w:gridCol w:w="567"/>
        <w:gridCol w:w="567"/>
        <w:gridCol w:w="850"/>
        <w:gridCol w:w="2126"/>
        <w:gridCol w:w="709"/>
        <w:gridCol w:w="709"/>
      </w:tblGrid>
      <w:tr w:rsidR="002711F0" w:rsidRPr="009A0BA8" w:rsidTr="002711F0">
        <w:trPr>
          <w:trHeight w:val="51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1F0" w:rsidRPr="002711F0" w:rsidRDefault="002711F0" w:rsidP="002711F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2711F0">
              <w:rPr>
                <w:rFonts w:ascii="Arial Narrow" w:hAnsi="Arial Narrow" w:cs="Arial"/>
                <w:b/>
              </w:rPr>
              <w:t>UNIVERSIDAD NACIONAL DEL CALLAO</w:t>
            </w:r>
          </w:p>
          <w:p w:rsidR="002711F0" w:rsidRPr="002711F0" w:rsidRDefault="002711F0" w:rsidP="002711F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</w:t>
            </w:r>
            <w:r w:rsidRPr="002711F0">
              <w:rPr>
                <w:rFonts w:ascii="Arial Narrow" w:hAnsi="Arial Narrow" w:cs="Arial"/>
                <w:b/>
              </w:rPr>
              <w:t>ESCUELA PROFESIONAL DE ENFERMERÍA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2711F0" w:rsidRPr="009A0BA8" w:rsidTr="002711F0">
        <w:tc>
          <w:tcPr>
            <w:tcW w:w="45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1997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F0" w:rsidRPr="00AF3E5B" w:rsidRDefault="002711F0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2711F0" w:rsidRPr="009A0BA8" w:rsidTr="002711F0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2711F0" w:rsidRPr="009A0BA8" w:rsidTr="002711F0">
        <w:trPr>
          <w:trHeight w:val="241"/>
        </w:trPr>
        <w:tc>
          <w:tcPr>
            <w:tcW w:w="851" w:type="dxa"/>
          </w:tcPr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                 PARASITOLOGIA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2711F0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N2112</w:t>
            </w:r>
          </w:p>
        </w:tc>
        <w:tc>
          <w:tcPr>
            <w:tcW w:w="2126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PARASITOLOGIA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</w:tr>
    </w:tbl>
    <w:p w:rsidR="002711F0" w:rsidRPr="009A0BA8" w:rsidRDefault="002711F0" w:rsidP="002711F0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709"/>
        <w:gridCol w:w="567"/>
        <w:gridCol w:w="567"/>
        <w:gridCol w:w="850"/>
        <w:gridCol w:w="2126"/>
        <w:gridCol w:w="709"/>
        <w:gridCol w:w="709"/>
      </w:tblGrid>
      <w:tr w:rsidR="002711F0" w:rsidRPr="009A0BA8" w:rsidTr="002711F0">
        <w:trPr>
          <w:trHeight w:val="458"/>
        </w:trPr>
        <w:tc>
          <w:tcPr>
            <w:tcW w:w="851" w:type="dxa"/>
          </w:tcPr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EDUCACION PARA LA SALUD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A0BA8">
              <w:rPr>
                <w:rFonts w:ascii="Arial Narrow" w:hAnsi="Arial Narrow" w:cs="Arial"/>
                <w:b/>
                <w:sz w:val="32"/>
                <w:szCs w:val="32"/>
              </w:rPr>
              <w:t>III</w:t>
            </w:r>
          </w:p>
        </w:tc>
        <w:tc>
          <w:tcPr>
            <w:tcW w:w="567" w:type="dxa"/>
          </w:tcPr>
          <w:p w:rsidR="002711F0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EN3201</w:t>
            </w:r>
          </w:p>
        </w:tc>
        <w:tc>
          <w:tcPr>
            <w:tcW w:w="2126" w:type="dxa"/>
          </w:tcPr>
          <w:p w:rsidR="002711F0" w:rsidRPr="009A0BA8" w:rsidRDefault="002711F0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EDUCACION EN ENFERMERIA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2711F0" w:rsidRPr="009A0BA8" w:rsidRDefault="002711F0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</w:tbl>
    <w:p w:rsidR="002711F0" w:rsidRPr="009A0BA8" w:rsidRDefault="002711F0" w:rsidP="002711F0">
      <w:pPr>
        <w:rPr>
          <w:rFonts w:ascii="Arial Narrow" w:hAnsi="Arial Narrow"/>
          <w:sz w:val="8"/>
          <w:szCs w:val="18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6D274D">
        <w:rPr>
          <w:rFonts w:ascii="Arial" w:hAnsi="Arial" w:cs="Arial"/>
          <w:b/>
          <w:sz w:val="20"/>
          <w:szCs w:val="20"/>
          <w:lang w:val="es-PE"/>
        </w:rPr>
        <w:t>Transcribi</w:t>
      </w:r>
      <w:proofErr w:type="spellEnd"/>
      <w:r w:rsidR="006C0483" w:rsidRPr="006D274D">
        <w:rPr>
          <w:rFonts w:ascii="Arial" w:hAnsi="Arial" w:cs="Arial"/>
          <w:b/>
          <w:sz w:val="20"/>
          <w:szCs w:val="20"/>
        </w:rPr>
        <w:t>r</w:t>
      </w:r>
      <w:r w:rsidR="006C0483" w:rsidRPr="001163A2">
        <w:rPr>
          <w:rFonts w:ascii="Arial" w:hAnsi="Arial" w:cs="Arial"/>
          <w:sz w:val="20"/>
          <w:szCs w:val="20"/>
        </w:rPr>
        <w:t xml:space="preserve">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AE4DE4" w:rsidRPr="009C7539" w:rsidRDefault="00AE4DE4" w:rsidP="00AE4DE4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Dejar sin efecto la </w:t>
      </w:r>
      <w:r w:rsidRPr="009C7539">
        <w:rPr>
          <w:rFonts w:ascii="Arial" w:hAnsi="Arial" w:cs="Arial"/>
          <w:sz w:val="20"/>
          <w:szCs w:val="20"/>
        </w:rPr>
        <w:t>Resolución De Decanato N° 45</w:t>
      </w:r>
      <w:r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9C7539">
        <w:rPr>
          <w:rFonts w:ascii="Arial" w:hAnsi="Arial" w:cs="Arial"/>
          <w:sz w:val="20"/>
          <w:szCs w:val="20"/>
        </w:rPr>
        <w:t>-2016-D/FCS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fecha</w:t>
      </w:r>
      <w:r w:rsidRPr="009C7539">
        <w:rPr>
          <w:rFonts w:ascii="Arial" w:hAnsi="Arial" w:cs="Arial"/>
          <w:sz w:val="20"/>
          <w:szCs w:val="20"/>
        </w:rPr>
        <w:t xml:space="preserve"> 26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 xml:space="preserve">e Setiembre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>el 2016</w:t>
      </w:r>
      <w:r>
        <w:rPr>
          <w:rFonts w:ascii="Arial" w:hAnsi="Arial" w:cs="Arial"/>
          <w:sz w:val="20"/>
          <w:szCs w:val="20"/>
        </w:rPr>
        <w:t>.</w:t>
      </w:r>
    </w:p>
    <w:p w:rsidR="00AE4DE4" w:rsidRDefault="00AE4DE4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E6739E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BB" w:rsidRDefault="00D976BB">
      <w:r>
        <w:separator/>
      </w:r>
    </w:p>
  </w:endnote>
  <w:endnote w:type="continuationSeparator" w:id="0">
    <w:p w:rsidR="00D976BB" w:rsidRDefault="00D9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BB" w:rsidRDefault="00D976BB">
      <w:r>
        <w:separator/>
      </w:r>
    </w:p>
  </w:footnote>
  <w:footnote w:type="continuationSeparator" w:id="0">
    <w:p w:rsidR="00D976BB" w:rsidRDefault="00D9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4DC1"/>
    <w:rsid w:val="0006754E"/>
    <w:rsid w:val="00077986"/>
    <w:rsid w:val="00080334"/>
    <w:rsid w:val="00080D9B"/>
    <w:rsid w:val="000A16E1"/>
    <w:rsid w:val="000C139B"/>
    <w:rsid w:val="000F60C4"/>
    <w:rsid w:val="001163A2"/>
    <w:rsid w:val="001215B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11F0"/>
    <w:rsid w:val="002764DD"/>
    <w:rsid w:val="0027678A"/>
    <w:rsid w:val="00290171"/>
    <w:rsid w:val="002B6634"/>
    <w:rsid w:val="002D5B9B"/>
    <w:rsid w:val="00305B85"/>
    <w:rsid w:val="00337266"/>
    <w:rsid w:val="00357BD0"/>
    <w:rsid w:val="003912BF"/>
    <w:rsid w:val="00395BE8"/>
    <w:rsid w:val="003C3E17"/>
    <w:rsid w:val="003C7FEF"/>
    <w:rsid w:val="003F194B"/>
    <w:rsid w:val="0042308E"/>
    <w:rsid w:val="0043425A"/>
    <w:rsid w:val="004364C5"/>
    <w:rsid w:val="00457F33"/>
    <w:rsid w:val="0049618B"/>
    <w:rsid w:val="004B15E4"/>
    <w:rsid w:val="004D77EE"/>
    <w:rsid w:val="004E2A74"/>
    <w:rsid w:val="00527F4F"/>
    <w:rsid w:val="0053065A"/>
    <w:rsid w:val="00580460"/>
    <w:rsid w:val="005B6C19"/>
    <w:rsid w:val="005E08DA"/>
    <w:rsid w:val="005F7E3D"/>
    <w:rsid w:val="006150EF"/>
    <w:rsid w:val="0063586A"/>
    <w:rsid w:val="0069781F"/>
    <w:rsid w:val="006A32B3"/>
    <w:rsid w:val="006B7B22"/>
    <w:rsid w:val="006C0483"/>
    <w:rsid w:val="006D274D"/>
    <w:rsid w:val="006E2FCB"/>
    <w:rsid w:val="006F1339"/>
    <w:rsid w:val="006F4514"/>
    <w:rsid w:val="00702523"/>
    <w:rsid w:val="0072296D"/>
    <w:rsid w:val="00736ABF"/>
    <w:rsid w:val="0079207C"/>
    <w:rsid w:val="007C13CA"/>
    <w:rsid w:val="007D7EBD"/>
    <w:rsid w:val="007F196A"/>
    <w:rsid w:val="00821612"/>
    <w:rsid w:val="00834466"/>
    <w:rsid w:val="00834FE8"/>
    <w:rsid w:val="008360C4"/>
    <w:rsid w:val="00855B74"/>
    <w:rsid w:val="0088423B"/>
    <w:rsid w:val="008858E0"/>
    <w:rsid w:val="0089362F"/>
    <w:rsid w:val="008C0BD4"/>
    <w:rsid w:val="008C6332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E4DE4"/>
    <w:rsid w:val="00AF1A86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C6F09"/>
    <w:rsid w:val="00CD0808"/>
    <w:rsid w:val="00CD598E"/>
    <w:rsid w:val="00CE7CD2"/>
    <w:rsid w:val="00D06AF1"/>
    <w:rsid w:val="00D930B5"/>
    <w:rsid w:val="00D95CBF"/>
    <w:rsid w:val="00D976BB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2016-10-05T14:56:00Z</cp:lastPrinted>
  <dcterms:created xsi:type="dcterms:W3CDTF">2016-10-20T14:49:00Z</dcterms:created>
  <dcterms:modified xsi:type="dcterms:W3CDTF">2016-10-20T14:49:00Z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