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7A" w:rsidRDefault="00DC047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</w:p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DC047A" w:rsidRPr="00DC047A" w:rsidRDefault="00DC047A" w:rsidP="00DC047A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Callao, 26 de setiembre de 2016.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Señor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Presente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Con fecha 26 de setiembre del 2016, se ha expedido la siguiente Resolución: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b/>
          <w:lang w:val="es-MX"/>
        </w:rPr>
      </w:pPr>
      <w:r w:rsidRPr="00DC047A">
        <w:rPr>
          <w:rFonts w:asciiTheme="minorHAnsi" w:hAnsiTheme="minorHAnsi" w:cstheme="minorHAnsi"/>
          <w:b/>
          <w:lang w:val="es-MX"/>
        </w:rPr>
        <w:t>RESOLUCIÓN DE DECANATO</w:t>
      </w:r>
      <w:r w:rsidRPr="00DC047A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DC047A">
        <w:rPr>
          <w:rFonts w:asciiTheme="minorHAnsi" w:hAnsiTheme="minorHAnsi" w:cstheme="minorHAnsi"/>
          <w:b/>
          <w:lang w:val="es-MX"/>
        </w:rPr>
        <w:t>N° 45</w:t>
      </w:r>
      <w:r>
        <w:rPr>
          <w:rFonts w:asciiTheme="minorHAnsi" w:hAnsiTheme="minorHAnsi" w:cstheme="minorHAnsi"/>
          <w:b/>
          <w:lang w:val="es-MX"/>
        </w:rPr>
        <w:t>9</w:t>
      </w:r>
      <w:r w:rsidRPr="00DC047A">
        <w:rPr>
          <w:rFonts w:asciiTheme="minorHAnsi" w:hAnsiTheme="minorHAnsi" w:cstheme="minorHAnsi"/>
          <w:b/>
          <w:lang w:val="es-MX"/>
        </w:rPr>
        <w:t xml:space="preserve">-2016-D/FCS.- Callao; 26 de setiembre del 2016, EL DECANATO </w:t>
      </w:r>
      <w:r w:rsidRPr="00DC047A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DC047A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DC047A" w:rsidRPr="00DC047A" w:rsidRDefault="00DC047A" w:rsidP="00DC047A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DC047A" w:rsidRDefault="00DC047A" w:rsidP="00DC047A">
      <w:pPr>
        <w:tabs>
          <w:tab w:val="left" w:pos="5954"/>
        </w:tabs>
        <w:jc w:val="both"/>
        <w:rPr>
          <w:rFonts w:asciiTheme="minorHAnsi" w:hAnsiTheme="minorHAnsi" w:cstheme="minorHAnsi"/>
          <w:color w:val="000000" w:themeColor="text1"/>
        </w:rPr>
      </w:pPr>
      <w:r w:rsidRPr="00DC047A">
        <w:rPr>
          <w:rFonts w:asciiTheme="minorHAnsi" w:hAnsiTheme="minorHAnsi" w:cstheme="minorHAnsi"/>
          <w:color w:val="000000" w:themeColor="text1"/>
        </w:rPr>
        <w:t>Visto el Oficio Nº 392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>-2016/DEPE de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 xml:space="preserve"> 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 xml:space="preserve">la Directora de la Escuela Profesional de Enfermería </w:t>
      </w:r>
      <w:r w:rsidRPr="00DC047A">
        <w:rPr>
          <w:rFonts w:asciiTheme="minorHAnsi" w:hAnsiTheme="minorHAnsi" w:cstheme="minorHAnsi"/>
          <w:color w:val="000000" w:themeColor="text1"/>
        </w:rPr>
        <w:t xml:space="preserve">de la 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Pr="00DC047A">
        <w:rPr>
          <w:rFonts w:asciiTheme="minorHAnsi" w:hAnsiTheme="minorHAnsi" w:cstheme="minorHAnsi"/>
          <w:color w:val="000000" w:themeColor="text1"/>
        </w:rPr>
        <w:t xml:space="preserve">, </w:t>
      </w:r>
      <w:r w:rsidR="0053065A" w:rsidRPr="00DC047A">
        <w:rPr>
          <w:rFonts w:asciiTheme="minorHAnsi" w:hAnsiTheme="minorHAnsi" w:cstheme="minorHAnsi"/>
          <w:color w:val="000000" w:themeColor="text1"/>
        </w:rPr>
        <w:t xml:space="preserve">solicitando efectuar la adecuación curricular 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DC047A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DC047A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 w:rsidRPr="00DC047A">
        <w:rPr>
          <w:rFonts w:asciiTheme="minorHAnsi" w:hAnsiTheme="minorHAnsi" w:cstheme="minorHAnsi"/>
          <w:color w:val="000000" w:themeColor="text1"/>
        </w:rPr>
        <w:t>s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 w:rsidRPr="00DC047A">
        <w:rPr>
          <w:rFonts w:asciiTheme="minorHAnsi" w:hAnsiTheme="minorHAnsi" w:cstheme="minorHAnsi"/>
          <w:color w:val="000000" w:themeColor="text1"/>
        </w:rPr>
        <w:t>s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, correspondiente al </w:t>
      </w:r>
      <w:r w:rsidR="00AD43E3" w:rsidRPr="00DC047A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Ronnie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Steven Delgado Paredes</w:t>
      </w:r>
      <w:r w:rsidR="00AD43E3" w:rsidRPr="00DC047A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</w:t>
      </w:r>
      <w:r w:rsidR="00792A9D">
        <w:rPr>
          <w:rFonts w:asciiTheme="minorHAnsi" w:hAnsiTheme="minorHAnsi" w:cstheme="minorHAnsi"/>
          <w:lang w:val="es-PE"/>
        </w:rPr>
        <w:t>1</w:t>
      </w:r>
      <w:r w:rsidR="00DC047A">
        <w:rPr>
          <w:rFonts w:asciiTheme="minorHAnsi" w:hAnsiTheme="minorHAnsi" w:cstheme="minorHAnsi"/>
          <w:lang w:val="es-PE"/>
        </w:rPr>
        <w:t>3</w:t>
      </w:r>
      <w:r w:rsidRPr="00DC1CC0">
        <w:rPr>
          <w:rFonts w:asciiTheme="minorHAnsi" w:hAnsiTheme="minorHAnsi" w:cstheme="minorHAnsi"/>
          <w:lang w:val="es-PE"/>
        </w:rPr>
        <w:t xml:space="preserve">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</w:t>
      </w:r>
      <w:r w:rsidR="00DC047A">
        <w:rPr>
          <w:rFonts w:asciiTheme="minorHAnsi" w:hAnsiTheme="minorHAnsi" w:cstheme="minorHAnsi"/>
          <w:lang w:val="es-PE"/>
        </w:rPr>
        <w:t>26</w:t>
      </w:r>
      <w:r w:rsidRPr="00DC1CC0">
        <w:rPr>
          <w:rFonts w:asciiTheme="minorHAnsi" w:hAnsiTheme="minorHAnsi" w:cstheme="minorHAnsi"/>
          <w:lang w:val="es-PE"/>
        </w:rPr>
        <w:t xml:space="preserve"> de </w:t>
      </w:r>
      <w:r w:rsidR="00792A9D">
        <w:rPr>
          <w:rFonts w:asciiTheme="minorHAnsi" w:hAnsiTheme="minorHAnsi" w:cstheme="minorHAnsi"/>
          <w:lang w:val="es-PE"/>
        </w:rPr>
        <w:t>septiembre</w:t>
      </w:r>
      <w:r w:rsidRPr="00DC1CC0">
        <w:rPr>
          <w:rFonts w:asciiTheme="minorHAnsi" w:hAnsiTheme="minorHAnsi" w:cstheme="minorHAnsi"/>
          <w:lang w:val="es-PE"/>
        </w:rPr>
        <w:t xml:space="preserve">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</w:t>
      </w:r>
      <w:proofErr w:type="gramStart"/>
      <w:r w:rsidRPr="00DC1CC0">
        <w:rPr>
          <w:rFonts w:asciiTheme="minorHAnsi" w:hAnsiTheme="minorHAnsi" w:cstheme="minorHAnsi"/>
          <w:lang w:val="es-PE"/>
        </w:rPr>
        <w:t>favorable</w:t>
      </w:r>
      <w:proofErr w:type="gramEnd"/>
      <w:r w:rsidRPr="00DC1CC0">
        <w:rPr>
          <w:rFonts w:asciiTheme="minorHAnsi" w:hAnsiTheme="minorHAnsi" w:cstheme="minorHAnsi"/>
          <w:lang w:val="es-PE"/>
        </w:rPr>
        <w:t xml:space="preserve">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l </w:t>
      </w:r>
      <w:r w:rsidR="00DC047A" w:rsidRPr="00DC047A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DC047A">
        <w:rPr>
          <w:rFonts w:asciiTheme="minorHAnsi" w:hAnsiTheme="minorHAnsi" w:cstheme="minorHAnsi"/>
          <w:b/>
          <w:color w:val="000000" w:themeColor="text1"/>
        </w:rPr>
        <w:t>Ronnie</w:t>
      </w:r>
      <w:proofErr w:type="spellEnd"/>
      <w:r w:rsidR="00DC047A">
        <w:rPr>
          <w:rFonts w:asciiTheme="minorHAnsi" w:hAnsiTheme="minorHAnsi" w:cstheme="minorHAnsi"/>
          <w:b/>
          <w:color w:val="000000" w:themeColor="text1"/>
        </w:rPr>
        <w:t xml:space="preserve"> Steven Delgado Paredes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DC047A" w:rsidRDefault="00AD43E3" w:rsidP="00DC04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792A9D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792A9D">
        <w:rPr>
          <w:rFonts w:asciiTheme="minorHAnsi" w:hAnsiTheme="minorHAnsi" w:cstheme="minorHAnsi"/>
          <w:b/>
          <w:smallCaps/>
          <w:lang w:val="es-PE"/>
        </w:rPr>
        <w:t xml:space="preserve">Lic. </w:t>
      </w:r>
      <w:proofErr w:type="spellStart"/>
      <w:r w:rsidR="00DC047A" w:rsidRPr="00DC047A">
        <w:rPr>
          <w:rFonts w:asciiTheme="minorHAnsi" w:hAnsiTheme="minorHAnsi" w:cstheme="minorHAnsi"/>
          <w:b/>
          <w:smallCaps/>
          <w:lang w:val="es-PE"/>
        </w:rPr>
        <w:t>Ronnie</w:t>
      </w:r>
      <w:proofErr w:type="spellEnd"/>
      <w:r w:rsidR="00DC047A" w:rsidRPr="00DC047A">
        <w:rPr>
          <w:rFonts w:asciiTheme="minorHAnsi" w:hAnsiTheme="minorHAnsi" w:cstheme="minorHAnsi"/>
          <w:b/>
          <w:smallCaps/>
          <w:lang w:val="es-PE"/>
        </w:rPr>
        <w:t xml:space="preserve"> Steven Delgado Paredes</w:t>
      </w:r>
      <w:r w:rsidR="00DC047A" w:rsidRPr="00792A9D">
        <w:rPr>
          <w:rFonts w:asciiTheme="minorHAnsi" w:hAnsiTheme="minorHAnsi" w:cstheme="minorHAnsi"/>
          <w:b/>
          <w:smallCaps/>
          <w:lang w:val="es-PE"/>
        </w:rPr>
        <w:t xml:space="preserve"> </w:t>
      </w:r>
      <w:r w:rsidRPr="00DC047A">
        <w:rPr>
          <w:rFonts w:asciiTheme="minorHAnsi" w:hAnsiTheme="minorHAnsi" w:cstheme="minorHAnsi"/>
          <w:smallCaps/>
          <w:lang w:val="es-PE"/>
        </w:rPr>
        <w:t>,</w:t>
      </w:r>
      <w:r w:rsidRPr="00DC047A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 w:rsidRPr="00DC047A">
        <w:rPr>
          <w:rFonts w:asciiTheme="minorHAnsi" w:hAnsiTheme="minorHAnsi" w:cstheme="minorHAnsi"/>
          <w:bCs/>
          <w:lang w:val="es-PE"/>
        </w:rPr>
        <w:t>48141</w:t>
      </w:r>
      <w:r w:rsidR="00DC047A">
        <w:rPr>
          <w:rFonts w:asciiTheme="minorHAnsi" w:hAnsiTheme="minorHAnsi" w:cstheme="minorHAnsi"/>
          <w:bCs/>
          <w:lang w:val="es-PE"/>
        </w:rPr>
        <w:t>2143</w:t>
      </w:r>
      <w:r w:rsidRPr="00DC047A">
        <w:rPr>
          <w:rFonts w:asciiTheme="minorHAnsi" w:hAnsiTheme="minorHAnsi" w:cstheme="minorHAnsi"/>
          <w:bCs/>
        </w:rPr>
        <w:t xml:space="preserve"> </w:t>
      </w:r>
      <w:r w:rsidRPr="00DC047A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DC047A">
        <w:rPr>
          <w:rFonts w:asciiTheme="minorHAnsi" w:hAnsiTheme="minorHAnsi" w:cstheme="minorHAnsi"/>
          <w:color w:val="000000" w:themeColor="text1"/>
        </w:rPr>
        <w:t>Emergencias y Desastres</w:t>
      </w:r>
      <w:r w:rsidRPr="00DC047A">
        <w:rPr>
          <w:rFonts w:asciiTheme="minorHAnsi" w:hAnsiTheme="minorHAnsi" w:cstheme="minorHAnsi"/>
          <w:bCs/>
          <w:lang w:val="es-PE"/>
        </w:rPr>
        <w:t>,</w:t>
      </w:r>
      <w:r w:rsidRPr="00DC047A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0715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689"/>
        <w:gridCol w:w="17"/>
        <w:gridCol w:w="536"/>
        <w:gridCol w:w="32"/>
        <w:gridCol w:w="711"/>
        <w:gridCol w:w="2127"/>
        <w:gridCol w:w="709"/>
        <w:gridCol w:w="708"/>
        <w:gridCol w:w="709"/>
        <w:gridCol w:w="567"/>
        <w:gridCol w:w="709"/>
        <w:gridCol w:w="2126"/>
        <w:gridCol w:w="567"/>
        <w:gridCol w:w="508"/>
      </w:tblGrid>
      <w:tr w:rsidR="00DC047A" w:rsidRPr="005C6FC1" w:rsidTr="00DC047A">
        <w:trPr>
          <w:trHeight w:val="20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0D5876" w:rsidRDefault="00DC047A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PLAN DE ESTUDIOS 2014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0D5876" w:rsidRDefault="00DC047A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PLAN DE ESTUDIOS 2015</w:t>
            </w:r>
          </w:p>
          <w:p w:rsidR="00DC047A" w:rsidRPr="000D5876" w:rsidRDefault="00DC047A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(Res. N° 099-2015-CU)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568" w:type="dxa"/>
            <w:gridSpan w:val="2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12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ASIGNATURA APROBADA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08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NOTA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ASIGNATURA CONVALIDADA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NOTA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>
              <w:rPr>
                <w:rFonts w:cstheme="minorHAnsi"/>
                <w:sz w:val="32"/>
                <w:szCs w:val="32"/>
                <w:lang w:eastAsia="es-PE"/>
              </w:rPr>
              <w:t>I</w:t>
            </w: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5C6FC1" w:rsidRDefault="00DC047A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127" w:type="dxa"/>
            <w:noWrap/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sz w:val="32"/>
                <w:szCs w:val="32"/>
                <w:lang w:eastAsia="es-PE"/>
              </w:rPr>
              <w:t>I</w:t>
            </w:r>
          </w:p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567" w:type="dxa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127" w:type="dxa"/>
            <w:noWrap/>
            <w:vAlign w:val="center"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567" w:type="dxa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127" w:type="dxa"/>
            <w:noWrap/>
            <w:vAlign w:val="center"/>
            <w:hideMark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127" w:type="dxa"/>
            <w:noWrap/>
            <w:vAlign w:val="center"/>
            <w:hideMark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</w:tr>
      <w:tr w:rsidR="00DC047A" w:rsidRPr="005C6FC1" w:rsidTr="00DC047A">
        <w:trPr>
          <w:trHeight w:val="333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11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127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DC047A" w:rsidRPr="005C6FC1" w:rsidTr="00DC047A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11" w:type="dxa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305</w:t>
            </w:r>
          </w:p>
        </w:tc>
        <w:tc>
          <w:tcPr>
            <w:tcW w:w="2127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ADMINISTRACION DE SERVICIOS DE URGENCIAS Y EMERGENCIAS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106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ADMINISTRACIÓN DE SERVICIOS DE URGENCIAS Y EMERGENCIAS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</w:tr>
      <w:tr w:rsidR="00DC047A" w:rsidRPr="005C6FC1" w:rsidTr="00DC047A">
        <w:trPr>
          <w:trHeight w:val="194"/>
        </w:trPr>
        <w:tc>
          <w:tcPr>
            <w:tcW w:w="10715" w:type="dxa"/>
            <w:gridSpan w:val="1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</w:tr>
      <w:tr w:rsidR="00DC047A" w:rsidRPr="005C6FC1" w:rsidTr="00DC047A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0D5876" w:rsidRDefault="00DC047A" w:rsidP="00110EDC">
            <w:pPr>
              <w:jc w:val="center"/>
              <w:rPr>
                <w:rFonts w:cstheme="minorHAnsi"/>
                <w:b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b/>
                <w:sz w:val="32"/>
                <w:szCs w:val="32"/>
                <w:lang w:eastAsia="es-PE"/>
              </w:rPr>
              <w:t>II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ED201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TESIS-II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0D5876" w:rsidRDefault="00DC047A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sz w:val="32"/>
                <w:szCs w:val="32"/>
                <w:lang w:eastAsia="es-PE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201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II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</w:tr>
      <w:tr w:rsidR="00DC047A" w:rsidRPr="005C6FC1" w:rsidTr="00DC047A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43" w:type="dxa"/>
            <w:gridSpan w:val="2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ED202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CUIDADO DE SALUD EN REANIMACION CARDIOPULMONAR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202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CUIDADOS DE SALUD EN REANIMACIÓN CARDIOPULMONAR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</w:tr>
      <w:tr w:rsidR="00DC047A" w:rsidRPr="005C6FC1" w:rsidTr="00DC047A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43" w:type="dxa"/>
            <w:gridSpan w:val="2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ED203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EMERGENCIAS Y DESASTRES-PRACTICA ESPECIALIDA-II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203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II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DC047A" w:rsidRPr="005C6FC1" w:rsidTr="00DC047A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43" w:type="dxa"/>
            <w:gridSpan w:val="2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ED204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INTERCENCION PSICOLÒGICA EN SITUACIONES DE CRISIS POR EMERGENCIAS Y DESASTRES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204</w:t>
            </w:r>
          </w:p>
        </w:tc>
        <w:tc>
          <w:tcPr>
            <w:tcW w:w="2126" w:type="dxa"/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INTERVENCIÓN PSICOLÓGICA EN SITUACIONES DE CRISIS POR EMERGENCIA Y DESASTRES</w:t>
            </w:r>
          </w:p>
        </w:tc>
        <w:tc>
          <w:tcPr>
            <w:tcW w:w="567" w:type="dxa"/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15</w:t>
            </w:r>
          </w:p>
        </w:tc>
      </w:tr>
      <w:tr w:rsidR="00DC047A" w:rsidRPr="005C6FC1" w:rsidTr="00DC047A">
        <w:trPr>
          <w:trHeight w:val="308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43" w:type="dxa"/>
            <w:gridSpan w:val="2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ED205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BIOÈTICA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BIOÉTICA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DC047A" w:rsidRPr="005C6FC1" w:rsidTr="00DC047A">
        <w:trPr>
          <w:trHeight w:val="382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ED302</w:t>
            </w:r>
          </w:p>
        </w:tc>
        <w:tc>
          <w:tcPr>
            <w:tcW w:w="2127" w:type="dxa"/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CUIDADOS DE SALUD EN PACIENTES PEDIÀTRICOS</w:t>
            </w:r>
          </w:p>
        </w:tc>
        <w:tc>
          <w:tcPr>
            <w:tcW w:w="709" w:type="dxa"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FARMACOLOGÍA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18</w:t>
            </w:r>
          </w:p>
        </w:tc>
      </w:tr>
      <w:tr w:rsidR="00DC047A" w:rsidRPr="005C6FC1" w:rsidTr="00DC047A">
        <w:trPr>
          <w:trHeight w:val="38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ED304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 xml:space="preserve">PREVENCIÒN DE </w:t>
            </w:r>
            <w:r>
              <w:rPr>
                <w:rFonts w:cstheme="minorHAnsi"/>
                <w:sz w:val="16"/>
                <w:szCs w:val="16"/>
                <w:lang w:eastAsia="es-PE"/>
              </w:rPr>
              <w:t>R</w:t>
            </w:r>
            <w:r w:rsidRPr="005C6FC1">
              <w:rPr>
                <w:rFonts w:cstheme="minorHAnsi"/>
                <w:sz w:val="16"/>
                <w:szCs w:val="16"/>
                <w:lang w:eastAsia="es-PE"/>
              </w:rPr>
              <w:t>IESGOS Y ACTUACIÒN EN DESASTRES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7A" w:rsidRPr="005C6FC1" w:rsidRDefault="00DC047A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</w:tr>
    </w:tbl>
    <w:p w:rsidR="00AD43E3" w:rsidRPr="00792A9D" w:rsidRDefault="00AD43E3" w:rsidP="00E77A75">
      <w:pPr>
        <w:tabs>
          <w:tab w:val="left" w:pos="694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  <w:bookmarkStart w:id="0" w:name="_GoBack"/>
      <w:bookmarkEnd w:id="0"/>
    </w:p>
    <w:sectPr w:rsidR="003E6770" w:rsidRPr="00D52129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3B" w:rsidRDefault="00C92C3B">
      <w:r>
        <w:separator/>
      </w:r>
    </w:p>
  </w:endnote>
  <w:endnote w:type="continuationSeparator" w:id="0">
    <w:p w:rsidR="00C92C3B" w:rsidRDefault="00C9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3B" w:rsidRDefault="00C92C3B">
      <w:r>
        <w:separator/>
      </w:r>
    </w:p>
  </w:footnote>
  <w:footnote w:type="continuationSeparator" w:id="0">
    <w:p w:rsidR="00C92C3B" w:rsidRDefault="00C9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01F31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92A9D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55655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54CF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0F74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2C3B"/>
    <w:rsid w:val="00C94B4D"/>
    <w:rsid w:val="00CC3E06"/>
    <w:rsid w:val="00CC67BB"/>
    <w:rsid w:val="00CD0808"/>
    <w:rsid w:val="00CD598E"/>
    <w:rsid w:val="00CE7CD2"/>
    <w:rsid w:val="00D06AF1"/>
    <w:rsid w:val="00D930B5"/>
    <w:rsid w:val="00D95CBF"/>
    <w:rsid w:val="00DC047A"/>
    <w:rsid w:val="00DC1CC0"/>
    <w:rsid w:val="00DC51E9"/>
    <w:rsid w:val="00DC75DB"/>
    <w:rsid w:val="00E014EF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2016-08-31T17:19:00Z</cp:lastPrinted>
  <dcterms:created xsi:type="dcterms:W3CDTF">2016-09-26T17:58:00Z</dcterms:created>
  <dcterms:modified xsi:type="dcterms:W3CDTF">2016-09-26T17:58:00Z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