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7E2603">
        <w:rPr>
          <w:rFonts w:ascii="Arial" w:hAnsi="Arial" w:cs="Arial"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7E2603">
        <w:rPr>
          <w:rFonts w:ascii="Arial" w:hAnsi="Arial" w:cs="Arial"/>
          <w:sz w:val="20"/>
          <w:szCs w:val="20"/>
          <w:lang w:val="es-MX"/>
        </w:rPr>
        <w:t>10 de junio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F71DD6">
        <w:rPr>
          <w:rFonts w:ascii="Arial" w:hAnsi="Arial" w:cs="Arial"/>
          <w:b/>
          <w:sz w:val="20"/>
          <w:szCs w:val="20"/>
          <w:lang w:val="es-MX"/>
        </w:rPr>
        <w:t>247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7E2603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C2C" w:rsidRDefault="00F8045C" w:rsidP="0074327D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="007E2603">
        <w:rPr>
          <w:rFonts w:ascii="Arial" w:hAnsi="Arial" w:cs="Arial"/>
          <w:sz w:val="20"/>
          <w:szCs w:val="20"/>
          <w:lang w:val="es-PE"/>
        </w:rPr>
        <w:t>025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74327D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74327D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74327D">
        <w:rPr>
          <w:rFonts w:ascii="Arial" w:hAnsi="Arial" w:cs="Arial"/>
          <w:sz w:val="20"/>
          <w:szCs w:val="20"/>
          <w:lang w:val="es-PE"/>
        </w:rPr>
        <w:t>;</w:t>
      </w:r>
    </w:p>
    <w:p w:rsidR="0074327D" w:rsidRPr="00E77A75" w:rsidRDefault="0074327D" w:rsidP="0074327D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bookmarkStart w:id="0" w:name="_GoBack"/>
      <w:bookmarkEnd w:id="0"/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06C4F">
        <w:rPr>
          <w:rFonts w:ascii="Arial" w:hAnsi="Arial" w:cs="Arial"/>
          <w:b/>
          <w:sz w:val="20"/>
          <w:szCs w:val="20"/>
          <w:lang w:val="es-PE"/>
        </w:rPr>
        <w:t>VERONICA ELIZABETH SANCHEZ MANYA</w:t>
      </w:r>
      <w:r>
        <w:rPr>
          <w:rFonts w:ascii="Arial" w:hAnsi="Arial" w:cs="Arial"/>
          <w:b/>
          <w:sz w:val="20"/>
          <w:szCs w:val="20"/>
          <w:lang w:val="es-PE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206C4F">
        <w:rPr>
          <w:rFonts w:ascii="Arial" w:hAnsi="Arial" w:cs="Arial"/>
          <w:bCs/>
          <w:sz w:val="20"/>
          <w:szCs w:val="20"/>
          <w:lang w:val="es-PE"/>
        </w:rPr>
        <w:t>070921l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043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82"/>
        <w:gridCol w:w="280"/>
        <w:gridCol w:w="1196"/>
        <w:gridCol w:w="483"/>
        <w:gridCol w:w="519"/>
        <w:gridCol w:w="519"/>
        <w:gridCol w:w="320"/>
        <w:gridCol w:w="579"/>
        <w:gridCol w:w="520"/>
        <w:gridCol w:w="1880"/>
        <w:gridCol w:w="529"/>
        <w:gridCol w:w="576"/>
      </w:tblGrid>
      <w:tr w:rsidR="00206C4F" w:rsidTr="007E2603">
        <w:trPr>
          <w:trHeight w:val="315"/>
        </w:trPr>
        <w:tc>
          <w:tcPr>
            <w:tcW w:w="41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492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206C4F" w:rsidTr="007E2603">
        <w:trPr>
          <w:trHeight w:val="315"/>
        </w:trPr>
        <w:tc>
          <w:tcPr>
            <w:tcW w:w="41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492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206C4F" w:rsidTr="007E2603">
        <w:trPr>
          <w:trHeight w:val="4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</w:tr>
      <w:tr w:rsidR="00206C4F" w:rsidTr="007E2603">
        <w:trPr>
          <w:trHeight w:val="4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EN111  EN113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ANTROPOLOGÍA               SOCIOLOGÍA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14      16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ANTROPOLOGÍA Y SOCIOLOGÍA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206C4F" w:rsidTr="007E260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BIOLOGÍA GENERAL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206C4F" w:rsidTr="007E2603">
        <w:trPr>
          <w:trHeight w:val="4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LENGUA ESPAÑOLA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LENGUA Y COMUNICACIÓN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206C4F" w:rsidTr="007E260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206C4F" w:rsidTr="007E2603">
        <w:trPr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EN103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206C4F" w:rsidTr="007E2603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06C4F" w:rsidTr="007E2603">
        <w:trPr>
          <w:trHeight w:val="31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ANATOMÍA HUMANA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EN108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ANATOMÍA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206C4F" w:rsidTr="007E260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BIOQUÍMICA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EN109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BIOQUÍMICA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206C4F" w:rsidTr="007E2603">
        <w:trPr>
          <w:trHeight w:val="4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ÉTICA Y DEONTOLOGÍA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BIOÉTICA Y DEONTOLOGÍA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206C4F" w:rsidTr="007E2603">
        <w:trPr>
          <w:trHeight w:val="5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EN106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EN112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206C4F" w:rsidTr="007E2603">
        <w:trPr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EN109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PSICOLOGÍA EVOLUTIVA Y SOCIAL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EN113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PSICOLOGÍA SOCIAL Y SALUD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206C4F" w:rsidTr="007E260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EN114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206C4F" w:rsidTr="007E2603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06C4F" w:rsidTr="007E2603">
        <w:trPr>
          <w:trHeight w:val="43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EN3201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EDUACIÓN EN ENFERMERÍA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EN201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EDUCACIÓN EN ENFERMERÍA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206C4F" w:rsidTr="007E260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EN205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FARMACOLOGÍA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EN202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FARMACOLOGÍA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206C4F" w:rsidTr="007E260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 201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FISIOLOGÍA HUMANA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FISIOLOGÍA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206C4F" w:rsidTr="007E2603">
        <w:trPr>
          <w:trHeight w:val="4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EN108   EN207</w:t>
            </w: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INTROD. A LA ENFERMERÍA ENFERM. BÁSICA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6                9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17      12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TECNOLOGÍA DEL CUIDADO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206C4F" w:rsidTr="007E2603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06C4F" w:rsidTr="007E2603">
        <w:trPr>
          <w:trHeight w:val="31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EN3206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ESTADÍSTICA E INFORMÁTICA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IV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EN206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ESTADÍSTICA E INFORMÁTICA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206C4F" w:rsidTr="007E2603">
        <w:trPr>
          <w:trHeight w:val="4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EN202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ENF. EN SALUD DEL ADULTO 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EN207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ENFERMERÍA DEL ADULTO I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206C4F" w:rsidTr="007E260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EN204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ENFERMERÍA EN EPIDEMIOLOGÍA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EN208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EPIDEMIOLOGÍA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206C4F" w:rsidTr="007E2603">
        <w:trPr>
          <w:trHeight w:val="4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EN208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NUTRICIÓN Y DIETOTERAPIA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EN209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NUTRICIÓN Y DIETOTERAPIA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206C4F" w:rsidTr="007E2603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06C4F" w:rsidTr="007E2603">
        <w:trPr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EN301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ENF. EN SALUD DEL ADULTO II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EN301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ENFERMERÍA DEL ADULTO II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206C4F" w:rsidTr="007E2603">
        <w:trPr>
          <w:trHeight w:val="5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EN302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ENF. EN SALUD DE LA MUJER Y NIÑO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EN302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ENFERMERÍA MATERNO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206C4F" w:rsidTr="007E260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EN313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MEDICINA TRADICIONAL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EN303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ELECTIVO I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206C4F" w:rsidTr="007E2603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06C4F" w:rsidTr="007E2603">
        <w:trPr>
          <w:trHeight w:val="6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CONSTITUCIÓN DESARROLLO Y DEFENSA NACIONAL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EN304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CONST. DESARROLLO Y DEFENSA NACIONAL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206C4F" w:rsidTr="007E2603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ENF. EN SALUD MENTAL Y PSIQUIATRÍA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EN306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ENFERMERÍA EN SALUD MENTAL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206C4F" w:rsidTr="007E2603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SALUD REPRODUCTIVA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EN307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ELECTIVO II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206C4F" w:rsidTr="007E2603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06C4F" w:rsidTr="007E2603">
        <w:trPr>
          <w:trHeight w:val="70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ENF. SALUD DEL NIÑO Y ADOLESCENTE I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ENFERMERÍA DEL NIÑO Y ADOLESCENTE I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206C4F" w:rsidTr="007E2603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06C4F" w:rsidTr="007E2603">
        <w:trPr>
          <w:trHeight w:val="72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ENF. SALUD DEL NIÑO Y ADOLESCENTE II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EN311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ENFERMERÍA DEL NIÑO Y ADOLESCENTE II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F" w:rsidRDefault="00206C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</w:tbl>
    <w:p w:rsidR="00536835" w:rsidRPr="001163A2" w:rsidRDefault="0053683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7E2603">
        <w:rPr>
          <w:rFonts w:asciiTheme="minorHAnsi" w:hAnsiTheme="minorHAnsi" w:cstheme="minorHAnsi"/>
          <w:b/>
          <w:smallCaps/>
          <w:sz w:val="22"/>
          <w:szCs w:val="22"/>
        </w:rPr>
        <w:t xml:space="preserve">Ana Elvira </w:t>
      </w:r>
      <w:proofErr w:type="spellStart"/>
      <w:r w:rsidR="007E2603">
        <w:rPr>
          <w:rFonts w:asciiTheme="minorHAnsi" w:hAnsiTheme="minorHAnsi" w:cstheme="minorHAnsi"/>
          <w:b/>
          <w:smallCaps/>
          <w:sz w:val="22"/>
          <w:szCs w:val="22"/>
        </w:rPr>
        <w:t>Lopez</w:t>
      </w:r>
      <w:proofErr w:type="spellEnd"/>
      <w:r w:rsidR="007E2603">
        <w:rPr>
          <w:rFonts w:asciiTheme="minorHAnsi" w:hAnsiTheme="minorHAnsi" w:cstheme="minorHAnsi"/>
          <w:b/>
          <w:smallCaps/>
          <w:sz w:val="22"/>
          <w:szCs w:val="22"/>
        </w:rPr>
        <w:t xml:space="preserve"> y Rojas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7E2603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9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76F" w:rsidRDefault="00C1376F">
      <w:r>
        <w:separator/>
      </w:r>
    </w:p>
  </w:endnote>
  <w:endnote w:type="continuationSeparator" w:id="0">
    <w:p w:rsidR="00C1376F" w:rsidRDefault="00C1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76F" w:rsidRDefault="00C1376F">
      <w:r>
        <w:separator/>
      </w:r>
    </w:p>
  </w:footnote>
  <w:footnote w:type="continuationSeparator" w:id="0">
    <w:p w:rsidR="00C1376F" w:rsidRDefault="00C13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101E3"/>
    <w:rsid w:val="000263CD"/>
    <w:rsid w:val="00062D0E"/>
    <w:rsid w:val="00077986"/>
    <w:rsid w:val="00080334"/>
    <w:rsid w:val="00080D9B"/>
    <w:rsid w:val="000A16E1"/>
    <w:rsid w:val="000C139B"/>
    <w:rsid w:val="000D6B2E"/>
    <w:rsid w:val="000F60C4"/>
    <w:rsid w:val="001163A2"/>
    <w:rsid w:val="00134FA7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06C4F"/>
    <w:rsid w:val="0024509B"/>
    <w:rsid w:val="0025280A"/>
    <w:rsid w:val="00260324"/>
    <w:rsid w:val="002764DD"/>
    <w:rsid w:val="0027678A"/>
    <w:rsid w:val="00290171"/>
    <w:rsid w:val="00290F28"/>
    <w:rsid w:val="002A282F"/>
    <w:rsid w:val="002B6634"/>
    <w:rsid w:val="002D5B9B"/>
    <w:rsid w:val="002E638A"/>
    <w:rsid w:val="002F4E47"/>
    <w:rsid w:val="00305B85"/>
    <w:rsid w:val="00336213"/>
    <w:rsid w:val="00337266"/>
    <w:rsid w:val="003912BF"/>
    <w:rsid w:val="00395BE8"/>
    <w:rsid w:val="003C3E17"/>
    <w:rsid w:val="003E78CA"/>
    <w:rsid w:val="0042220D"/>
    <w:rsid w:val="0043425A"/>
    <w:rsid w:val="004364C5"/>
    <w:rsid w:val="00446D9C"/>
    <w:rsid w:val="00457F33"/>
    <w:rsid w:val="0049618B"/>
    <w:rsid w:val="004B15E4"/>
    <w:rsid w:val="004D77EE"/>
    <w:rsid w:val="00527F4F"/>
    <w:rsid w:val="0053065A"/>
    <w:rsid w:val="00536835"/>
    <w:rsid w:val="005404FD"/>
    <w:rsid w:val="00553EF1"/>
    <w:rsid w:val="00580460"/>
    <w:rsid w:val="005B6C19"/>
    <w:rsid w:val="005D247C"/>
    <w:rsid w:val="005F7E3D"/>
    <w:rsid w:val="0063586A"/>
    <w:rsid w:val="0069781F"/>
    <w:rsid w:val="006A32B3"/>
    <w:rsid w:val="006C0483"/>
    <w:rsid w:val="006E2FCB"/>
    <w:rsid w:val="006F1339"/>
    <w:rsid w:val="006F287D"/>
    <w:rsid w:val="006F4514"/>
    <w:rsid w:val="00704666"/>
    <w:rsid w:val="0072296D"/>
    <w:rsid w:val="007321B3"/>
    <w:rsid w:val="00736ABF"/>
    <w:rsid w:val="0074327D"/>
    <w:rsid w:val="00782659"/>
    <w:rsid w:val="0079207C"/>
    <w:rsid w:val="007D7EBD"/>
    <w:rsid w:val="007E2603"/>
    <w:rsid w:val="007F196A"/>
    <w:rsid w:val="00834466"/>
    <w:rsid w:val="00834FE8"/>
    <w:rsid w:val="008360C4"/>
    <w:rsid w:val="0089362F"/>
    <w:rsid w:val="008C0BD4"/>
    <w:rsid w:val="008D36DC"/>
    <w:rsid w:val="008E21EF"/>
    <w:rsid w:val="008E36A6"/>
    <w:rsid w:val="008E7C0B"/>
    <w:rsid w:val="008F0569"/>
    <w:rsid w:val="008F0A87"/>
    <w:rsid w:val="008F7463"/>
    <w:rsid w:val="00972891"/>
    <w:rsid w:val="009B3519"/>
    <w:rsid w:val="009C2C59"/>
    <w:rsid w:val="009D726A"/>
    <w:rsid w:val="00A060C7"/>
    <w:rsid w:val="00A06456"/>
    <w:rsid w:val="00A06C7B"/>
    <w:rsid w:val="00A121A5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418ED"/>
    <w:rsid w:val="00B50653"/>
    <w:rsid w:val="00B53B18"/>
    <w:rsid w:val="00B7657F"/>
    <w:rsid w:val="00B8548D"/>
    <w:rsid w:val="00BB2B88"/>
    <w:rsid w:val="00BC165D"/>
    <w:rsid w:val="00BE3226"/>
    <w:rsid w:val="00BE3F1D"/>
    <w:rsid w:val="00C037AD"/>
    <w:rsid w:val="00C1376F"/>
    <w:rsid w:val="00C300B4"/>
    <w:rsid w:val="00C30C2C"/>
    <w:rsid w:val="00C4191C"/>
    <w:rsid w:val="00C546DA"/>
    <w:rsid w:val="00C94B4D"/>
    <w:rsid w:val="00CB32BF"/>
    <w:rsid w:val="00CC3E06"/>
    <w:rsid w:val="00CC67BB"/>
    <w:rsid w:val="00CD0808"/>
    <w:rsid w:val="00CD18FE"/>
    <w:rsid w:val="00CD598E"/>
    <w:rsid w:val="00CE7CD2"/>
    <w:rsid w:val="00D930B5"/>
    <w:rsid w:val="00D947B1"/>
    <w:rsid w:val="00D95CBF"/>
    <w:rsid w:val="00DC51E9"/>
    <w:rsid w:val="00DC75DB"/>
    <w:rsid w:val="00DD3058"/>
    <w:rsid w:val="00E01948"/>
    <w:rsid w:val="00E03204"/>
    <w:rsid w:val="00E06B22"/>
    <w:rsid w:val="00E10355"/>
    <w:rsid w:val="00E17644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1DD6"/>
    <w:rsid w:val="00F746DB"/>
    <w:rsid w:val="00F8045C"/>
    <w:rsid w:val="00F8468D"/>
    <w:rsid w:val="00FA6838"/>
    <w:rsid w:val="00FB096B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477B7C3-22E5-419D-B79B-67A0678B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C307F7-77F6-402B-B8A6-B84495B3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5</cp:revision>
  <cp:lastPrinted>2016-06-14T15:30:00Z</cp:lastPrinted>
  <dcterms:created xsi:type="dcterms:W3CDTF">2016-06-12T05:20:00Z</dcterms:created>
  <dcterms:modified xsi:type="dcterms:W3CDTF">2016-06-14T15:30:00Z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