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137007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137007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137007">
        <w:rPr>
          <w:rFonts w:ascii="Arial" w:hAnsi="Arial" w:cs="Arial"/>
          <w:b/>
          <w:sz w:val="20"/>
          <w:szCs w:val="20"/>
          <w:lang w:val="es-MX"/>
        </w:rPr>
        <w:t>241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137007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B320FA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137007">
        <w:rPr>
          <w:rFonts w:ascii="Arial" w:hAnsi="Arial" w:cs="Arial"/>
          <w:sz w:val="20"/>
          <w:szCs w:val="20"/>
          <w:lang w:val="es-PE"/>
        </w:rPr>
        <w:t>019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B320FA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B320FA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B320FA">
        <w:rPr>
          <w:rFonts w:ascii="Arial" w:hAnsi="Arial" w:cs="Arial"/>
          <w:sz w:val="20"/>
          <w:szCs w:val="20"/>
          <w:lang w:val="es-PE"/>
        </w:rPr>
        <w:t>;</w:t>
      </w:r>
    </w:p>
    <w:p w:rsidR="00B320FA" w:rsidRPr="00E77A75" w:rsidRDefault="00B320FA" w:rsidP="00B320FA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34FA7">
        <w:rPr>
          <w:rFonts w:ascii="Arial" w:hAnsi="Arial" w:cs="Arial"/>
          <w:b/>
          <w:sz w:val="20"/>
          <w:szCs w:val="20"/>
          <w:lang w:val="es-PE"/>
        </w:rPr>
        <w:t>ZAIRA FIORELLA YATACO ARTEAGA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134FA7">
        <w:rPr>
          <w:rFonts w:ascii="Arial" w:hAnsi="Arial" w:cs="Arial"/>
          <w:bCs/>
          <w:sz w:val="20"/>
          <w:szCs w:val="20"/>
          <w:lang w:val="es-PE"/>
        </w:rPr>
        <w:t>094237K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89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408"/>
        <w:gridCol w:w="498"/>
        <w:gridCol w:w="518"/>
        <w:gridCol w:w="517"/>
        <w:gridCol w:w="376"/>
        <w:gridCol w:w="619"/>
        <w:gridCol w:w="2150"/>
        <w:gridCol w:w="576"/>
        <w:gridCol w:w="518"/>
      </w:tblGrid>
      <w:tr w:rsidR="00134FA7" w:rsidTr="00137007">
        <w:trPr>
          <w:trHeight w:val="315"/>
        </w:trPr>
        <w:tc>
          <w:tcPr>
            <w:tcW w:w="4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134FA7" w:rsidTr="00137007">
        <w:trPr>
          <w:trHeight w:val="315"/>
        </w:trPr>
        <w:tc>
          <w:tcPr>
            <w:tcW w:w="4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134FA7" w:rsidTr="00137007">
        <w:trPr>
          <w:trHeight w:val="4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134FA7" w:rsidTr="00137007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EN3203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FISIOLOGIA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EN203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FISIOLOGIA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A7" w:rsidRDefault="00134FA7" w:rsidP="001370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7007" w:rsidRDefault="00137007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13700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37007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1163A2" w:rsidRPr="00D52129">
        <w:rPr>
          <w:rFonts w:asciiTheme="minorHAnsi" w:hAnsiTheme="minorHAnsi" w:cstheme="minorHAnsi"/>
          <w:sz w:val="22"/>
          <w:szCs w:val="22"/>
        </w:rPr>
        <w:t xml:space="preserve">    Decana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="001163A2" w:rsidRPr="00D521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163A2"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BF" w:rsidRDefault="00B70ABF">
      <w:r>
        <w:separator/>
      </w:r>
    </w:p>
  </w:endnote>
  <w:endnote w:type="continuationSeparator" w:id="0">
    <w:p w:rsidR="00B70ABF" w:rsidRDefault="00B7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BF" w:rsidRDefault="00B70ABF">
      <w:r>
        <w:separator/>
      </w:r>
    </w:p>
  </w:footnote>
  <w:footnote w:type="continuationSeparator" w:id="0">
    <w:p w:rsidR="00B70ABF" w:rsidRDefault="00B7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3700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E638A"/>
    <w:rsid w:val="00305B85"/>
    <w:rsid w:val="00336213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56E24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16CD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320FA"/>
    <w:rsid w:val="00B418ED"/>
    <w:rsid w:val="00B50653"/>
    <w:rsid w:val="00B53B18"/>
    <w:rsid w:val="00B70ABF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D0A8587-6DA4-43C7-8AB4-EFE7A30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D63EE-FF59-41EE-938B-63593F89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2016-06-14T15:15:00Z</cp:lastPrinted>
  <dcterms:created xsi:type="dcterms:W3CDTF">2016-06-12T05:05:00Z</dcterms:created>
  <dcterms:modified xsi:type="dcterms:W3CDTF">2016-06-14T15:15:00Z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