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A77483" w:rsidRDefault="00A77483" w:rsidP="00A77483">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15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A77483" w:rsidRPr="00752781" w:rsidRDefault="00A77483" w:rsidP="00A77483">
      <w:pPr>
        <w:jc w:val="both"/>
        <w:rPr>
          <w:rFonts w:asciiTheme="minorHAnsi" w:hAnsiTheme="minorHAnsi" w:cstheme="minorHAnsi"/>
          <w:sz w:val="20"/>
          <w:szCs w:val="20"/>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A77483" w:rsidRPr="00FD10ED" w:rsidRDefault="00A77483" w:rsidP="00A77483">
      <w:pPr>
        <w:jc w:val="both"/>
        <w:rPr>
          <w:rFonts w:asciiTheme="minorHAnsi" w:hAnsiTheme="minorHAnsi" w:cstheme="minorHAnsi"/>
          <w:sz w:val="16"/>
          <w:szCs w:val="16"/>
          <w:lang w:val="es-MX"/>
        </w:rPr>
      </w:pPr>
    </w:p>
    <w:p w:rsidR="00A77483" w:rsidRPr="00752781" w:rsidRDefault="00A77483" w:rsidP="00A77483">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15 de diciembre </w:t>
      </w:r>
      <w:r w:rsidRPr="00752781">
        <w:rPr>
          <w:rFonts w:asciiTheme="minorHAnsi" w:hAnsiTheme="minorHAnsi" w:cstheme="minorHAnsi"/>
          <w:sz w:val="20"/>
          <w:szCs w:val="20"/>
          <w:lang w:val="es-MX"/>
        </w:rPr>
        <w:t>de 2016, se ha expedido la siguiente Resolución:</w:t>
      </w:r>
    </w:p>
    <w:p w:rsidR="00A77483" w:rsidRPr="00752781" w:rsidRDefault="00A77483" w:rsidP="00A77483">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188</w:t>
      </w:r>
      <w:r w:rsidR="00B6288C">
        <w:rPr>
          <w:rFonts w:asciiTheme="minorHAnsi" w:hAnsiTheme="minorHAnsi" w:cstheme="minorHAnsi"/>
          <w:b/>
          <w:sz w:val="20"/>
          <w:szCs w:val="20"/>
          <w:lang w:val="es-MX"/>
        </w:rPr>
        <w:t>5</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15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A77483">
        <w:rPr>
          <w:rFonts w:asciiTheme="minorHAnsi" w:hAnsiTheme="minorHAnsi" w:cstheme="minorHAnsi"/>
          <w:sz w:val="20"/>
          <w:szCs w:val="20"/>
        </w:rPr>
        <w:t>9</w:t>
      </w:r>
      <w:r w:rsidR="001F5BFD">
        <w:rPr>
          <w:rFonts w:asciiTheme="minorHAnsi" w:hAnsiTheme="minorHAnsi" w:cstheme="minorHAnsi"/>
          <w:sz w:val="20"/>
          <w:szCs w:val="20"/>
        </w:rPr>
        <w:t>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sidRPr="00503114">
        <w:rPr>
          <w:rFonts w:asciiTheme="minorHAnsi" w:hAnsiTheme="minorHAnsi" w:cstheme="minorHAnsi"/>
          <w:b/>
          <w:noProof/>
          <w:sz w:val="20"/>
          <w:szCs w:val="20"/>
        </w:rPr>
        <w:t xml:space="preserve">Enfermería en </w:t>
      </w:r>
      <w:r w:rsidR="00B6288C">
        <w:rPr>
          <w:rFonts w:asciiTheme="minorHAnsi" w:hAnsiTheme="minorHAnsi" w:cstheme="minorHAnsi"/>
          <w:b/>
          <w:noProof/>
          <w:sz w:val="20"/>
          <w:szCs w:val="20"/>
        </w:rPr>
        <w:t>Epidemiolo</w:t>
      </w:r>
      <w:r w:rsidR="00BC3A9C" w:rsidRPr="00503114">
        <w:rPr>
          <w:rFonts w:asciiTheme="minorHAnsi" w:hAnsiTheme="minorHAnsi" w:cstheme="minorHAnsi"/>
          <w:b/>
          <w:noProof/>
          <w:sz w:val="20"/>
          <w:szCs w:val="20"/>
        </w:rPr>
        <w:t>g</w:t>
      </w:r>
      <w:r w:rsidR="00B6288C">
        <w:rPr>
          <w:rFonts w:asciiTheme="minorHAnsi" w:hAnsiTheme="minorHAnsi" w:cstheme="minorHAnsi"/>
          <w:b/>
          <w:noProof/>
          <w:sz w:val="20"/>
          <w:szCs w:val="20"/>
        </w:rPr>
        <w:t>i</w:t>
      </w:r>
      <w:r w:rsidR="00BC3A9C" w:rsidRPr="00503114">
        <w:rPr>
          <w:rFonts w:asciiTheme="minorHAnsi" w:hAnsiTheme="minorHAnsi" w:cstheme="minorHAnsi"/>
          <w:b/>
          <w:noProof/>
          <w:sz w:val="20"/>
          <w:szCs w:val="20"/>
        </w:rPr>
        <w:t>a</w:t>
      </w:r>
      <w:r w:rsidRPr="0030622E">
        <w:rPr>
          <w:rFonts w:asciiTheme="minorHAnsi" w:hAnsiTheme="minorHAnsi" w:cstheme="minorHAnsi"/>
          <w:sz w:val="20"/>
          <w:szCs w:val="20"/>
        </w:rPr>
        <w:t xml:space="preserve">, titulado: </w:t>
      </w:r>
      <w:r w:rsidR="00B6288C" w:rsidRPr="00BA79E5">
        <w:rPr>
          <w:rFonts w:asciiTheme="minorHAnsi" w:hAnsiTheme="minorHAnsi" w:cstheme="minorHAnsi"/>
          <w:b/>
          <w:sz w:val="20"/>
          <w:szCs w:val="20"/>
        </w:rPr>
        <w:t>“INFORME DE EXPERIENCIA PROFESIONAL</w:t>
      </w:r>
      <w:r w:rsidR="00B6288C">
        <w:rPr>
          <w:rFonts w:asciiTheme="minorHAnsi" w:hAnsiTheme="minorHAnsi" w:cstheme="minorHAnsi"/>
          <w:b/>
          <w:sz w:val="20"/>
          <w:szCs w:val="20"/>
        </w:rPr>
        <w:t>: PREVALENCIA DE DIABETES MELLITUS DEL HOSPITAL NIVEL I – ICA 2015</w:t>
      </w:r>
      <w:r w:rsidR="00503114">
        <w:rPr>
          <w:rFonts w:asciiTheme="minorHAnsi" w:hAnsiTheme="minorHAnsi" w:cstheme="minorHAnsi"/>
          <w:smallCaps/>
          <w:noProof/>
          <w:sz w:val="20"/>
          <w:szCs w:val="20"/>
        </w:rPr>
        <w:t>”</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B6288C">
        <w:rPr>
          <w:rFonts w:asciiTheme="minorHAnsi" w:hAnsiTheme="minorHAnsi" w:cstheme="minorHAnsi"/>
          <w:b/>
          <w:noProof/>
          <w:sz w:val="20"/>
          <w:szCs w:val="20"/>
        </w:rPr>
        <w:t>Monica Marely Vasquez Flores</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B6288C">
        <w:rPr>
          <w:rFonts w:asciiTheme="minorHAnsi" w:hAnsiTheme="minorHAnsi" w:cstheme="minorHAnsi"/>
          <w:b/>
          <w:noProof/>
          <w:sz w:val="20"/>
          <w:szCs w:val="20"/>
        </w:rPr>
        <w:t>Mg. Ruth Mari</w:t>
      </w:r>
      <w:bookmarkStart w:id="0" w:name="_GoBack"/>
      <w:bookmarkEnd w:id="0"/>
      <w:r w:rsidR="00B6288C">
        <w:rPr>
          <w:rFonts w:asciiTheme="minorHAnsi" w:hAnsiTheme="minorHAnsi" w:cstheme="minorHAnsi"/>
          <w:b/>
          <w:noProof/>
          <w:sz w:val="20"/>
          <w:szCs w:val="20"/>
        </w:rPr>
        <w:t>tza Ponce Loyola</w:t>
      </w:r>
      <w:r w:rsidR="00503114">
        <w:rPr>
          <w:rFonts w:asciiTheme="minorHAnsi" w:hAnsiTheme="minorHAnsi" w:cstheme="minorHAnsi"/>
          <w:b/>
          <w:noProof/>
          <w:sz w:val="20"/>
          <w:szCs w:val="20"/>
        </w:rPr>
        <w:t xml:space="preserve">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B6288C" w:rsidRPr="00503114">
        <w:rPr>
          <w:rFonts w:asciiTheme="minorHAnsi" w:hAnsiTheme="minorHAnsi" w:cstheme="minorHAnsi"/>
          <w:b/>
          <w:noProof/>
          <w:sz w:val="20"/>
          <w:szCs w:val="20"/>
        </w:rPr>
        <w:t xml:space="preserve">Enfermería en </w:t>
      </w:r>
      <w:r w:rsidR="00B6288C">
        <w:rPr>
          <w:rFonts w:asciiTheme="minorHAnsi" w:hAnsiTheme="minorHAnsi" w:cstheme="minorHAnsi"/>
          <w:b/>
          <w:noProof/>
          <w:sz w:val="20"/>
          <w:szCs w:val="20"/>
        </w:rPr>
        <w:t>Epidemiolo</w:t>
      </w:r>
      <w:r w:rsidR="00B6288C" w:rsidRPr="00503114">
        <w:rPr>
          <w:rFonts w:asciiTheme="minorHAnsi" w:hAnsiTheme="minorHAnsi" w:cstheme="minorHAnsi"/>
          <w:b/>
          <w:noProof/>
          <w:sz w:val="20"/>
          <w:szCs w:val="20"/>
        </w:rPr>
        <w:t>g</w:t>
      </w:r>
      <w:r w:rsidR="00B6288C">
        <w:rPr>
          <w:rFonts w:asciiTheme="minorHAnsi" w:hAnsiTheme="minorHAnsi" w:cstheme="minorHAnsi"/>
          <w:b/>
          <w:noProof/>
          <w:sz w:val="20"/>
          <w:szCs w:val="20"/>
        </w:rPr>
        <w:t>i</w:t>
      </w:r>
      <w:r w:rsidR="00B6288C" w:rsidRPr="00503114">
        <w:rPr>
          <w:rFonts w:asciiTheme="minorHAnsi" w:hAnsiTheme="minorHAnsi" w:cstheme="minorHAnsi"/>
          <w:b/>
          <w:noProof/>
          <w:sz w:val="20"/>
          <w:szCs w:val="20"/>
        </w:rPr>
        <w:t>a</w:t>
      </w:r>
      <w:r w:rsidR="00B6288C" w:rsidRPr="0030622E">
        <w:rPr>
          <w:rFonts w:asciiTheme="minorHAnsi" w:hAnsiTheme="minorHAnsi" w:cstheme="minorHAnsi"/>
          <w:sz w:val="20"/>
          <w:szCs w:val="20"/>
        </w:rPr>
        <w:t xml:space="preserve">, titulado: </w:t>
      </w:r>
      <w:r w:rsidR="00B6288C" w:rsidRPr="00BA79E5">
        <w:rPr>
          <w:rFonts w:asciiTheme="minorHAnsi" w:hAnsiTheme="minorHAnsi" w:cstheme="minorHAnsi"/>
          <w:b/>
          <w:sz w:val="20"/>
          <w:szCs w:val="20"/>
        </w:rPr>
        <w:t>“INFORME DE EXPERIENCIA PROFESIONAL</w:t>
      </w:r>
      <w:r w:rsidR="00B6288C">
        <w:rPr>
          <w:rFonts w:asciiTheme="minorHAnsi" w:hAnsiTheme="minorHAnsi" w:cstheme="minorHAnsi"/>
          <w:b/>
          <w:sz w:val="20"/>
          <w:szCs w:val="20"/>
        </w:rPr>
        <w:t>: PREVALENCIA DE DIABETES MELLITUS DEL HOSPITAL NIVEL I – ICA 2015</w:t>
      </w:r>
      <w:r w:rsidR="00B6288C">
        <w:rPr>
          <w:rFonts w:asciiTheme="minorHAnsi" w:hAnsiTheme="minorHAnsi" w:cstheme="minorHAnsi"/>
          <w:smallCaps/>
          <w:noProof/>
          <w:sz w:val="20"/>
          <w:szCs w:val="20"/>
        </w:rPr>
        <w:t>”,</w:t>
      </w:r>
      <w:r w:rsidR="00B6288C">
        <w:rPr>
          <w:rFonts w:asciiTheme="minorHAnsi" w:hAnsiTheme="minorHAnsi" w:cstheme="minorHAnsi"/>
          <w:sz w:val="20"/>
          <w:szCs w:val="20"/>
        </w:rPr>
        <w:t xml:space="preserve"> elaborado por la </w:t>
      </w:r>
      <w:r w:rsidR="00B6288C" w:rsidRPr="00BA79E5">
        <w:rPr>
          <w:rFonts w:asciiTheme="minorHAnsi" w:hAnsiTheme="minorHAnsi" w:cstheme="minorHAnsi"/>
          <w:b/>
          <w:sz w:val="20"/>
          <w:szCs w:val="20"/>
        </w:rPr>
        <w:t xml:space="preserve">Lic. </w:t>
      </w:r>
      <w:r w:rsidR="00B6288C">
        <w:rPr>
          <w:rFonts w:asciiTheme="minorHAnsi" w:hAnsiTheme="minorHAnsi" w:cstheme="minorHAnsi"/>
          <w:b/>
          <w:noProof/>
          <w:sz w:val="20"/>
          <w:szCs w:val="20"/>
        </w:rPr>
        <w:t>Monica Marely Vasquez Flores</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64" w:rsidRDefault="00392D64">
      <w:r>
        <w:separator/>
      </w:r>
    </w:p>
  </w:endnote>
  <w:endnote w:type="continuationSeparator" w:id="0">
    <w:p w:rsidR="00392D64" w:rsidRDefault="0039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64" w:rsidRDefault="00392D64">
      <w:r>
        <w:separator/>
      </w:r>
    </w:p>
  </w:footnote>
  <w:footnote w:type="continuationSeparator" w:id="0">
    <w:p w:rsidR="00392D64" w:rsidRDefault="00392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A56EA"/>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92D64"/>
    <w:rsid w:val="003A004F"/>
    <w:rsid w:val="003A0732"/>
    <w:rsid w:val="003A1E0D"/>
    <w:rsid w:val="003A4364"/>
    <w:rsid w:val="003C5F23"/>
    <w:rsid w:val="003D2220"/>
    <w:rsid w:val="003D7479"/>
    <w:rsid w:val="003D7513"/>
    <w:rsid w:val="003F34BA"/>
    <w:rsid w:val="00411B90"/>
    <w:rsid w:val="00423268"/>
    <w:rsid w:val="00425758"/>
    <w:rsid w:val="00443BFA"/>
    <w:rsid w:val="004449D3"/>
    <w:rsid w:val="0046022C"/>
    <w:rsid w:val="00464271"/>
    <w:rsid w:val="00471692"/>
    <w:rsid w:val="00494B47"/>
    <w:rsid w:val="004A3566"/>
    <w:rsid w:val="004B2FF0"/>
    <w:rsid w:val="004B65FC"/>
    <w:rsid w:val="004C4F7E"/>
    <w:rsid w:val="004D1508"/>
    <w:rsid w:val="004F00B8"/>
    <w:rsid w:val="00503114"/>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854D4"/>
    <w:rsid w:val="00795300"/>
    <w:rsid w:val="0079776A"/>
    <w:rsid w:val="007B0B54"/>
    <w:rsid w:val="007B7C6F"/>
    <w:rsid w:val="007D4E82"/>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1679"/>
    <w:rsid w:val="008F500B"/>
    <w:rsid w:val="008F6589"/>
    <w:rsid w:val="00904D80"/>
    <w:rsid w:val="0090562B"/>
    <w:rsid w:val="00913C67"/>
    <w:rsid w:val="00920726"/>
    <w:rsid w:val="00941765"/>
    <w:rsid w:val="00946D0B"/>
    <w:rsid w:val="009534CE"/>
    <w:rsid w:val="00954F67"/>
    <w:rsid w:val="00955565"/>
    <w:rsid w:val="009666AE"/>
    <w:rsid w:val="0097324B"/>
    <w:rsid w:val="0097527A"/>
    <w:rsid w:val="00982D45"/>
    <w:rsid w:val="009A20BF"/>
    <w:rsid w:val="009A5DC6"/>
    <w:rsid w:val="009A6E3A"/>
    <w:rsid w:val="009B0491"/>
    <w:rsid w:val="009B566A"/>
    <w:rsid w:val="009D6440"/>
    <w:rsid w:val="009E7668"/>
    <w:rsid w:val="00A02A19"/>
    <w:rsid w:val="00A04CD7"/>
    <w:rsid w:val="00A20526"/>
    <w:rsid w:val="00A232AF"/>
    <w:rsid w:val="00A248D6"/>
    <w:rsid w:val="00A25C9E"/>
    <w:rsid w:val="00A25F5B"/>
    <w:rsid w:val="00A26911"/>
    <w:rsid w:val="00A33D07"/>
    <w:rsid w:val="00A37821"/>
    <w:rsid w:val="00A41233"/>
    <w:rsid w:val="00A648BA"/>
    <w:rsid w:val="00A65090"/>
    <w:rsid w:val="00A66084"/>
    <w:rsid w:val="00A77483"/>
    <w:rsid w:val="00A804B3"/>
    <w:rsid w:val="00A823C9"/>
    <w:rsid w:val="00A839C2"/>
    <w:rsid w:val="00A929FD"/>
    <w:rsid w:val="00AA18C6"/>
    <w:rsid w:val="00AA47AD"/>
    <w:rsid w:val="00AA7BAC"/>
    <w:rsid w:val="00AB007B"/>
    <w:rsid w:val="00AC06ED"/>
    <w:rsid w:val="00AC499B"/>
    <w:rsid w:val="00AC4A2B"/>
    <w:rsid w:val="00AD16B2"/>
    <w:rsid w:val="00AD6E19"/>
    <w:rsid w:val="00AF4AE4"/>
    <w:rsid w:val="00B050DC"/>
    <w:rsid w:val="00B06341"/>
    <w:rsid w:val="00B22CA2"/>
    <w:rsid w:val="00B2550C"/>
    <w:rsid w:val="00B27D95"/>
    <w:rsid w:val="00B35E70"/>
    <w:rsid w:val="00B4782B"/>
    <w:rsid w:val="00B6288C"/>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67DC"/>
    <w:rsid w:val="00C00177"/>
    <w:rsid w:val="00C03600"/>
    <w:rsid w:val="00C04759"/>
    <w:rsid w:val="00C056E8"/>
    <w:rsid w:val="00C10656"/>
    <w:rsid w:val="00C140BD"/>
    <w:rsid w:val="00C33230"/>
    <w:rsid w:val="00C50D57"/>
    <w:rsid w:val="00C518A8"/>
    <w:rsid w:val="00C70A31"/>
    <w:rsid w:val="00C7685C"/>
    <w:rsid w:val="00C921D9"/>
    <w:rsid w:val="00CA4BC8"/>
    <w:rsid w:val="00CA5E34"/>
    <w:rsid w:val="00CD2155"/>
    <w:rsid w:val="00CD3EAC"/>
    <w:rsid w:val="00CD7A65"/>
    <w:rsid w:val="00CE3AC8"/>
    <w:rsid w:val="00CE7328"/>
    <w:rsid w:val="00D126B9"/>
    <w:rsid w:val="00D16553"/>
    <w:rsid w:val="00D464C0"/>
    <w:rsid w:val="00D53C60"/>
    <w:rsid w:val="00D54B12"/>
    <w:rsid w:val="00D57FDB"/>
    <w:rsid w:val="00D714CC"/>
    <w:rsid w:val="00D75A4B"/>
    <w:rsid w:val="00D77CE2"/>
    <w:rsid w:val="00D92AA6"/>
    <w:rsid w:val="00D95291"/>
    <w:rsid w:val="00DA5D12"/>
    <w:rsid w:val="00DA7439"/>
    <w:rsid w:val="00DB0CC3"/>
    <w:rsid w:val="00DB2F0D"/>
    <w:rsid w:val="00DB405D"/>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B752A"/>
    <w:rsid w:val="00EC0A8A"/>
    <w:rsid w:val="00EC2BE9"/>
    <w:rsid w:val="00ED4A37"/>
    <w:rsid w:val="00EE4F6C"/>
    <w:rsid w:val="00EF2381"/>
    <w:rsid w:val="00F1104B"/>
    <w:rsid w:val="00F11DE4"/>
    <w:rsid w:val="00F12035"/>
    <w:rsid w:val="00F134B2"/>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F8C2-A5A6-4CD5-ABA1-E009F9F4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2016-12-15T20:50:00Z</cp:lastPrinted>
  <dcterms:created xsi:type="dcterms:W3CDTF">2016-12-15T20:55:00Z</dcterms:created>
  <dcterms:modified xsi:type="dcterms:W3CDTF">2016-12-15T20:55:00Z</dcterms:modified>
</cp:coreProperties>
</file>