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Callao, </w:t>
      </w:r>
      <w:r w:rsidR="000F0B1A">
        <w:rPr>
          <w:rFonts w:ascii="Arial" w:hAnsi="Arial" w:cs="Arial"/>
          <w:sz w:val="22"/>
          <w:szCs w:val="22"/>
          <w:lang w:val="es-MX"/>
        </w:rPr>
        <w:t>29</w:t>
      </w:r>
      <w:r w:rsidR="00165D2E" w:rsidRPr="00E258DB">
        <w:rPr>
          <w:rFonts w:ascii="Arial" w:hAnsi="Arial" w:cs="Arial"/>
          <w:sz w:val="22"/>
          <w:szCs w:val="22"/>
          <w:lang w:val="es-MX"/>
        </w:rPr>
        <w:t xml:space="preserve"> de marzo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0F0B1A">
        <w:rPr>
          <w:rFonts w:ascii="Arial" w:hAnsi="Arial" w:cs="Arial"/>
          <w:sz w:val="22"/>
          <w:szCs w:val="22"/>
          <w:lang w:val="es-MX"/>
        </w:rPr>
        <w:t>veintinueve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</w:t>
      </w:r>
      <w:r w:rsidR="00165D2E" w:rsidRPr="00E258DB">
        <w:rPr>
          <w:rFonts w:ascii="Arial" w:hAnsi="Arial" w:cs="Arial"/>
          <w:sz w:val="22"/>
          <w:szCs w:val="22"/>
          <w:lang w:val="es-MX"/>
        </w:rPr>
        <w:t>marzo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F15992" w:rsidRPr="00E258DB" w:rsidRDefault="00F15992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</w:t>
      </w:r>
      <w:r w:rsidR="00656E23">
        <w:rPr>
          <w:rFonts w:ascii="Arial" w:hAnsi="Arial" w:cs="Arial"/>
          <w:b/>
          <w:sz w:val="22"/>
          <w:szCs w:val="22"/>
          <w:lang w:val="es-MX"/>
        </w:rPr>
        <w:t>4</w:t>
      </w:r>
      <w:r w:rsidR="000F0B1A">
        <w:rPr>
          <w:rFonts w:ascii="Arial" w:hAnsi="Arial" w:cs="Arial"/>
          <w:b/>
          <w:sz w:val="22"/>
          <w:szCs w:val="22"/>
          <w:lang w:val="es-MX"/>
        </w:rPr>
        <w:t>2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-2016-D/FCS.- Callao; </w:t>
      </w:r>
      <w:r w:rsidR="000F0B1A">
        <w:rPr>
          <w:rFonts w:ascii="Arial" w:hAnsi="Arial" w:cs="Arial"/>
          <w:b/>
          <w:sz w:val="22"/>
          <w:szCs w:val="22"/>
          <w:lang w:val="es-MX"/>
        </w:rPr>
        <w:t>29</w:t>
      </w:r>
      <w:r w:rsidR="00165D2E" w:rsidRPr="00E258DB">
        <w:rPr>
          <w:rFonts w:ascii="Arial" w:hAnsi="Arial" w:cs="Arial"/>
          <w:b/>
          <w:sz w:val="22"/>
          <w:szCs w:val="22"/>
          <w:lang w:val="es-MX"/>
        </w:rPr>
        <w:t xml:space="preserve"> de marzo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D43213" w:rsidRPr="00D43213" w:rsidRDefault="00D43213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851243" w:rsidRPr="00D43213" w:rsidRDefault="00D43213" w:rsidP="00D4321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43213">
        <w:rPr>
          <w:rFonts w:ascii="Arial" w:hAnsi="Arial" w:cs="Arial"/>
          <w:color w:val="000000"/>
          <w:sz w:val="22"/>
          <w:szCs w:val="22"/>
        </w:rPr>
        <w:t>Visto el oficio N° 142</w:t>
      </w:r>
      <w:r w:rsidRPr="00D43213">
        <w:rPr>
          <w:rFonts w:ascii="Arial" w:hAnsi="Arial" w:cs="Arial"/>
          <w:color w:val="000000"/>
          <w:sz w:val="22"/>
          <w:szCs w:val="22"/>
        </w:rPr>
        <w:t>/201</w:t>
      </w:r>
      <w:r w:rsidRPr="00D43213">
        <w:rPr>
          <w:rFonts w:ascii="Arial" w:hAnsi="Arial" w:cs="Arial"/>
          <w:color w:val="000000"/>
          <w:sz w:val="22"/>
          <w:szCs w:val="22"/>
        </w:rPr>
        <w:t>6</w:t>
      </w:r>
      <w:r w:rsidRPr="00D43213">
        <w:rPr>
          <w:rFonts w:ascii="Arial" w:hAnsi="Arial" w:cs="Arial"/>
          <w:color w:val="000000"/>
          <w:sz w:val="22"/>
          <w:szCs w:val="22"/>
        </w:rPr>
        <w:t>/DEPE</w:t>
      </w:r>
      <w:r w:rsidRPr="00D43213">
        <w:rPr>
          <w:rFonts w:ascii="Arial" w:hAnsi="Arial" w:cs="Arial"/>
          <w:color w:val="000000"/>
          <w:sz w:val="22"/>
          <w:szCs w:val="22"/>
        </w:rPr>
        <w:t>-FCS</w:t>
      </w:r>
      <w:r w:rsidRPr="00D43213">
        <w:rPr>
          <w:rFonts w:ascii="Arial" w:hAnsi="Arial" w:cs="Arial"/>
          <w:color w:val="000000"/>
          <w:sz w:val="22"/>
          <w:szCs w:val="22"/>
        </w:rPr>
        <w:t xml:space="preserve"> de fecha 2</w:t>
      </w:r>
      <w:r w:rsidRPr="00D43213">
        <w:rPr>
          <w:rFonts w:ascii="Arial" w:hAnsi="Arial" w:cs="Arial"/>
          <w:color w:val="000000"/>
          <w:sz w:val="22"/>
          <w:szCs w:val="22"/>
        </w:rPr>
        <w:t>9 de marzo de</w:t>
      </w:r>
      <w:r w:rsidRPr="00D43213">
        <w:rPr>
          <w:rFonts w:ascii="Arial" w:hAnsi="Arial" w:cs="Arial"/>
          <w:color w:val="000000"/>
          <w:sz w:val="22"/>
          <w:szCs w:val="22"/>
        </w:rPr>
        <w:t xml:space="preserve"> 201</w:t>
      </w:r>
      <w:r w:rsidRPr="00D43213">
        <w:rPr>
          <w:rFonts w:ascii="Arial" w:hAnsi="Arial" w:cs="Arial"/>
          <w:color w:val="000000"/>
          <w:sz w:val="22"/>
          <w:szCs w:val="22"/>
        </w:rPr>
        <w:t>6 de la Dirección</w:t>
      </w:r>
      <w:r w:rsidRPr="00D43213">
        <w:rPr>
          <w:rFonts w:ascii="Arial" w:hAnsi="Arial" w:cs="Arial"/>
          <w:color w:val="000000"/>
          <w:sz w:val="22"/>
          <w:szCs w:val="22"/>
        </w:rPr>
        <w:t xml:space="preserve"> de la Escuela Profesional de Enfermería, hace llegar la propuesta de </w:t>
      </w:r>
      <w:r w:rsidRPr="00D43213">
        <w:rPr>
          <w:rFonts w:ascii="Arial" w:hAnsi="Arial" w:cs="Arial"/>
          <w:color w:val="000000"/>
          <w:sz w:val="22"/>
          <w:szCs w:val="22"/>
        </w:rPr>
        <w:t xml:space="preserve">la </w:t>
      </w:r>
      <w:r w:rsidRPr="00D43213">
        <w:rPr>
          <w:rFonts w:ascii="Arial" w:hAnsi="Arial" w:cs="Arial"/>
          <w:color w:val="000000"/>
          <w:sz w:val="22"/>
          <w:szCs w:val="22"/>
        </w:rPr>
        <w:t>Coordinadora de Segunda especialidad de la Escuela Profesional de Enfermería.</w:t>
      </w:r>
    </w:p>
    <w:p w:rsidR="00D43213" w:rsidRPr="00D43213" w:rsidRDefault="00D43213" w:rsidP="00D43213">
      <w:pPr>
        <w:jc w:val="both"/>
        <w:rPr>
          <w:rFonts w:ascii="Arial Narrow" w:hAnsi="Arial Narrow"/>
          <w:color w:val="000000"/>
          <w:sz w:val="20"/>
          <w:szCs w:val="20"/>
        </w:rPr>
      </w:pPr>
    </w:p>
    <w:p w:rsidR="00851243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D43213" w:rsidRPr="00D43213" w:rsidRDefault="00D43213" w:rsidP="00D43213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43213">
        <w:rPr>
          <w:rFonts w:ascii="Arial" w:hAnsi="Arial" w:cs="Arial"/>
          <w:color w:val="000000"/>
          <w:sz w:val="22"/>
          <w:szCs w:val="22"/>
        </w:rPr>
        <w:t>Que, el artículo 53° inciso 53.7 del Estatuto de la Universidad Nacional del Callao, establece que es atribución del Director de la Escuela Profesional, designar a los coordinad</w:t>
      </w:r>
      <w:r>
        <w:rPr>
          <w:rFonts w:ascii="Arial" w:hAnsi="Arial" w:cs="Arial"/>
          <w:color w:val="000000"/>
          <w:sz w:val="22"/>
          <w:szCs w:val="22"/>
        </w:rPr>
        <w:t>ores de la segunda especialidad;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</w:t>
      </w:r>
      <w:r w:rsidR="00A84815">
        <w:rPr>
          <w:rFonts w:ascii="Arial" w:hAnsi="Arial" w:cs="Arial"/>
          <w:sz w:val="22"/>
          <w:szCs w:val="22"/>
        </w:rPr>
        <w:t>.</w:t>
      </w:r>
      <w:r w:rsidR="00851243" w:rsidRPr="00E258DB">
        <w:rPr>
          <w:rFonts w:ascii="Arial" w:hAnsi="Arial" w:cs="Arial"/>
          <w:sz w:val="22"/>
          <w:szCs w:val="22"/>
        </w:rPr>
        <w:t>6</w:t>
      </w:r>
      <w:r w:rsidR="00A84815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D050FF" w:rsidRDefault="00851243" w:rsidP="00D050FF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050FF">
        <w:rPr>
          <w:rFonts w:ascii="Arial" w:hAnsi="Arial" w:cs="Arial"/>
          <w:b/>
          <w:smallCaps/>
          <w:sz w:val="22"/>
          <w:szCs w:val="22"/>
        </w:rPr>
        <w:t>D</w:t>
      </w:r>
      <w:r w:rsidR="00E258DB" w:rsidRPr="00D050FF">
        <w:rPr>
          <w:rFonts w:ascii="Arial" w:hAnsi="Arial" w:cs="Arial"/>
          <w:b/>
          <w:smallCaps/>
          <w:sz w:val="22"/>
          <w:szCs w:val="22"/>
        </w:rPr>
        <w:t>ESIGNAR</w:t>
      </w:r>
      <w:r w:rsidRPr="00D050FF">
        <w:rPr>
          <w:rFonts w:ascii="Arial" w:hAnsi="Arial" w:cs="Arial"/>
          <w:b/>
          <w:sz w:val="22"/>
          <w:szCs w:val="22"/>
        </w:rPr>
        <w:t xml:space="preserve"> </w:t>
      </w:r>
      <w:r w:rsidRPr="00D050FF">
        <w:rPr>
          <w:rFonts w:ascii="Arial" w:hAnsi="Arial" w:cs="Arial"/>
          <w:sz w:val="22"/>
          <w:szCs w:val="22"/>
        </w:rPr>
        <w:t>a</w:t>
      </w:r>
      <w:r w:rsidR="00FC5947" w:rsidRPr="00D050FF">
        <w:rPr>
          <w:rFonts w:ascii="Arial" w:hAnsi="Arial" w:cs="Arial"/>
          <w:sz w:val="22"/>
          <w:szCs w:val="22"/>
        </w:rPr>
        <w:t xml:space="preserve"> </w:t>
      </w:r>
      <w:r w:rsidRPr="00D050FF">
        <w:rPr>
          <w:rFonts w:ascii="Arial" w:hAnsi="Arial" w:cs="Arial"/>
          <w:sz w:val="22"/>
          <w:szCs w:val="22"/>
        </w:rPr>
        <w:t>l</w:t>
      </w:r>
      <w:r w:rsidR="00FC5947" w:rsidRPr="00D050FF">
        <w:rPr>
          <w:rFonts w:ascii="Arial" w:hAnsi="Arial" w:cs="Arial"/>
          <w:sz w:val="22"/>
          <w:szCs w:val="22"/>
        </w:rPr>
        <w:t>a</w:t>
      </w:r>
      <w:r w:rsidR="00F15992" w:rsidRPr="00D050FF">
        <w:rPr>
          <w:rFonts w:ascii="Arial" w:hAnsi="Arial" w:cs="Arial"/>
          <w:sz w:val="22"/>
          <w:szCs w:val="22"/>
        </w:rPr>
        <w:t xml:space="preserve"> profesor</w:t>
      </w:r>
      <w:r w:rsidR="00FC5947" w:rsidRPr="00D050FF">
        <w:rPr>
          <w:rFonts w:ascii="Arial" w:hAnsi="Arial" w:cs="Arial"/>
          <w:sz w:val="22"/>
          <w:szCs w:val="22"/>
        </w:rPr>
        <w:t>a</w:t>
      </w:r>
      <w:r w:rsidR="00F15992" w:rsidRPr="00D050FF">
        <w:rPr>
          <w:rFonts w:ascii="Arial" w:hAnsi="Arial" w:cs="Arial"/>
          <w:sz w:val="22"/>
          <w:szCs w:val="22"/>
        </w:rPr>
        <w:t xml:space="preserve"> </w:t>
      </w:r>
      <w:r w:rsidR="000F0B1A" w:rsidRPr="00D050FF">
        <w:rPr>
          <w:rFonts w:ascii="Arial" w:hAnsi="Arial" w:cs="Arial"/>
          <w:sz w:val="22"/>
          <w:szCs w:val="22"/>
        </w:rPr>
        <w:t>Lic</w:t>
      </w:r>
      <w:r w:rsidR="00A06A4A" w:rsidRPr="00D050FF">
        <w:rPr>
          <w:rFonts w:ascii="Arial" w:hAnsi="Arial" w:cs="Arial"/>
          <w:sz w:val="22"/>
          <w:szCs w:val="22"/>
        </w:rPr>
        <w:t>.</w:t>
      </w:r>
      <w:r w:rsidR="00A06A4A" w:rsidRPr="00D050F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F0B1A" w:rsidRPr="00D050FF">
        <w:rPr>
          <w:rFonts w:ascii="Arial" w:hAnsi="Arial" w:cs="Arial"/>
          <w:sz w:val="22"/>
          <w:szCs w:val="22"/>
        </w:rPr>
        <w:t>Espec</w:t>
      </w:r>
      <w:proofErr w:type="spellEnd"/>
      <w:r w:rsidR="000F0B1A" w:rsidRPr="00D050FF">
        <w:rPr>
          <w:rFonts w:ascii="Arial" w:hAnsi="Arial" w:cs="Arial"/>
          <w:sz w:val="22"/>
          <w:szCs w:val="22"/>
        </w:rPr>
        <w:t>.</w:t>
      </w:r>
      <w:r w:rsidR="00D050FF" w:rsidRPr="00D050F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F0B1A" w:rsidRPr="00D050FF">
        <w:rPr>
          <w:rFonts w:ascii="Arial" w:hAnsi="Arial" w:cs="Arial"/>
          <w:b/>
          <w:smallCaps/>
          <w:sz w:val="22"/>
          <w:szCs w:val="22"/>
        </w:rPr>
        <w:t>Yrene</w:t>
      </w:r>
      <w:proofErr w:type="spellEnd"/>
      <w:r w:rsidR="000F0B1A" w:rsidRPr="00D050FF">
        <w:rPr>
          <w:rFonts w:ascii="Arial" w:hAnsi="Arial" w:cs="Arial"/>
          <w:b/>
          <w:smallCaps/>
          <w:sz w:val="22"/>
          <w:szCs w:val="22"/>
        </w:rPr>
        <w:t xml:space="preserve"> Zenaida Blas Sancho</w:t>
      </w:r>
      <w:r w:rsidR="00AF3FD6" w:rsidRPr="00D050FF">
        <w:rPr>
          <w:rFonts w:ascii="Arial" w:hAnsi="Arial" w:cs="Arial"/>
          <w:sz w:val="22"/>
          <w:szCs w:val="22"/>
        </w:rPr>
        <w:t xml:space="preserve">, </w:t>
      </w:r>
      <w:r w:rsidR="00A84815" w:rsidRPr="00D050FF">
        <w:rPr>
          <w:rFonts w:ascii="Arial" w:hAnsi="Arial" w:cs="Arial"/>
          <w:sz w:val="22"/>
          <w:szCs w:val="22"/>
        </w:rPr>
        <w:t xml:space="preserve">como </w:t>
      </w:r>
      <w:proofErr w:type="gramStart"/>
      <w:r w:rsidR="007D6309" w:rsidRPr="00D050FF">
        <w:rPr>
          <w:rFonts w:ascii="Arial" w:hAnsi="Arial" w:cs="Arial"/>
          <w:sz w:val="22"/>
          <w:szCs w:val="22"/>
        </w:rPr>
        <w:t>Coordinadora  de</w:t>
      </w:r>
      <w:proofErr w:type="gramEnd"/>
      <w:r w:rsidR="007D6309" w:rsidRPr="00D050FF">
        <w:rPr>
          <w:rFonts w:ascii="Arial" w:hAnsi="Arial" w:cs="Arial"/>
          <w:sz w:val="22"/>
          <w:szCs w:val="22"/>
        </w:rPr>
        <w:t xml:space="preserve"> Segunda Especialidad de la Escuela Profesional de Enfermería </w:t>
      </w:r>
      <w:r w:rsidR="00F15992" w:rsidRPr="00D050FF">
        <w:rPr>
          <w:rFonts w:ascii="Arial" w:hAnsi="Arial" w:cs="Arial"/>
          <w:sz w:val="22"/>
          <w:szCs w:val="22"/>
        </w:rPr>
        <w:t>de la Facultad de Ciencias de la Salud</w:t>
      </w:r>
      <w:r w:rsidR="00E258DB" w:rsidRPr="00D050FF">
        <w:rPr>
          <w:rFonts w:ascii="Arial" w:hAnsi="Arial" w:cs="Arial"/>
          <w:sz w:val="22"/>
          <w:szCs w:val="22"/>
        </w:rPr>
        <w:t xml:space="preserve">, </w:t>
      </w:r>
      <w:r w:rsidRPr="00D050FF">
        <w:rPr>
          <w:rFonts w:ascii="Arial" w:hAnsi="Arial" w:cs="Arial"/>
          <w:sz w:val="22"/>
          <w:szCs w:val="22"/>
        </w:rPr>
        <w:t xml:space="preserve">a partir del </w:t>
      </w:r>
      <w:r w:rsidR="007D6309" w:rsidRPr="00D050FF">
        <w:rPr>
          <w:rFonts w:ascii="Arial" w:hAnsi="Arial" w:cs="Arial"/>
          <w:sz w:val="22"/>
          <w:szCs w:val="22"/>
        </w:rPr>
        <w:t xml:space="preserve">29 </w:t>
      </w:r>
      <w:r w:rsidRPr="00D050FF">
        <w:rPr>
          <w:rFonts w:ascii="Arial" w:hAnsi="Arial" w:cs="Arial"/>
          <w:sz w:val="22"/>
          <w:szCs w:val="22"/>
        </w:rPr>
        <w:t xml:space="preserve">de </w:t>
      </w:r>
      <w:r w:rsidR="00E258DB" w:rsidRPr="00D050FF">
        <w:rPr>
          <w:rFonts w:ascii="Arial" w:hAnsi="Arial" w:cs="Arial"/>
          <w:sz w:val="22"/>
          <w:szCs w:val="22"/>
        </w:rPr>
        <w:t>marzo</w:t>
      </w:r>
      <w:r w:rsidRPr="00D050FF">
        <w:rPr>
          <w:rFonts w:ascii="Arial" w:hAnsi="Arial" w:cs="Arial"/>
          <w:sz w:val="22"/>
          <w:szCs w:val="22"/>
        </w:rPr>
        <w:t xml:space="preserve"> de</w:t>
      </w:r>
      <w:r w:rsidR="00E258DB" w:rsidRPr="00D050FF">
        <w:rPr>
          <w:rFonts w:ascii="Arial" w:hAnsi="Arial" w:cs="Arial"/>
          <w:sz w:val="22"/>
          <w:szCs w:val="22"/>
        </w:rPr>
        <w:t xml:space="preserve"> 2016.</w:t>
      </w:r>
    </w:p>
    <w:p w:rsidR="00333564" w:rsidRDefault="00333564" w:rsidP="00D050FF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33564" w:rsidRPr="00D050FF" w:rsidRDefault="00333564" w:rsidP="00D050FF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050FF">
        <w:rPr>
          <w:rFonts w:ascii="Arial" w:hAnsi="Arial" w:cs="Arial"/>
          <w:sz w:val="22"/>
          <w:szCs w:val="22"/>
        </w:rPr>
        <w:t>Agradecer a</w:t>
      </w:r>
      <w:r w:rsidR="007D6309" w:rsidRPr="00D050FF">
        <w:rPr>
          <w:rFonts w:ascii="Arial" w:hAnsi="Arial" w:cs="Arial"/>
          <w:sz w:val="22"/>
          <w:szCs w:val="22"/>
        </w:rPr>
        <w:t xml:space="preserve"> </w:t>
      </w:r>
      <w:r w:rsidRPr="00D050FF">
        <w:rPr>
          <w:rFonts w:ascii="Arial" w:hAnsi="Arial" w:cs="Arial"/>
          <w:sz w:val="22"/>
          <w:szCs w:val="22"/>
        </w:rPr>
        <w:t>l</w:t>
      </w:r>
      <w:r w:rsidR="007D6309" w:rsidRPr="00D050FF">
        <w:rPr>
          <w:rFonts w:ascii="Arial" w:hAnsi="Arial" w:cs="Arial"/>
          <w:sz w:val="22"/>
          <w:szCs w:val="22"/>
        </w:rPr>
        <w:t>a</w:t>
      </w:r>
      <w:r w:rsidRPr="00D050FF">
        <w:rPr>
          <w:rFonts w:ascii="Arial" w:hAnsi="Arial" w:cs="Arial"/>
          <w:sz w:val="22"/>
          <w:szCs w:val="22"/>
        </w:rPr>
        <w:t xml:space="preserve"> profesor</w:t>
      </w:r>
      <w:r w:rsidR="00D050FF" w:rsidRPr="00D050FF">
        <w:rPr>
          <w:rFonts w:ascii="Arial" w:hAnsi="Arial" w:cs="Arial"/>
          <w:sz w:val="22"/>
          <w:szCs w:val="22"/>
        </w:rPr>
        <w:t>a</w:t>
      </w:r>
      <w:r w:rsidR="00656E23" w:rsidRPr="00D050FF">
        <w:rPr>
          <w:rFonts w:ascii="Arial" w:hAnsi="Arial" w:cs="Arial"/>
          <w:sz w:val="22"/>
          <w:szCs w:val="22"/>
        </w:rPr>
        <w:t xml:space="preserve"> </w:t>
      </w:r>
      <w:r w:rsidR="00D06EDD" w:rsidRPr="00D050FF">
        <w:rPr>
          <w:rFonts w:ascii="Arial" w:hAnsi="Arial" w:cs="Arial"/>
          <w:sz w:val="22"/>
          <w:szCs w:val="22"/>
        </w:rPr>
        <w:t>M</w:t>
      </w:r>
      <w:r w:rsidR="00656E23" w:rsidRPr="00D050FF">
        <w:rPr>
          <w:rFonts w:ascii="Arial" w:hAnsi="Arial" w:cs="Arial"/>
          <w:sz w:val="22"/>
          <w:szCs w:val="22"/>
        </w:rPr>
        <w:t>g</w:t>
      </w:r>
      <w:r w:rsidRPr="00D050FF">
        <w:rPr>
          <w:rFonts w:ascii="Arial" w:hAnsi="Arial" w:cs="Arial"/>
          <w:sz w:val="22"/>
          <w:szCs w:val="22"/>
        </w:rPr>
        <w:t xml:space="preserve">. </w:t>
      </w:r>
      <w:r w:rsidR="00D050FF" w:rsidRPr="00D050FF">
        <w:rPr>
          <w:rFonts w:ascii="Arial" w:hAnsi="Arial" w:cs="Arial"/>
          <w:smallCaps/>
          <w:sz w:val="22"/>
          <w:szCs w:val="22"/>
        </w:rPr>
        <w:t>Mery Juana Abastos Abarca</w:t>
      </w:r>
      <w:r w:rsidRPr="00D050FF">
        <w:rPr>
          <w:rFonts w:ascii="Arial" w:hAnsi="Arial" w:cs="Arial"/>
          <w:sz w:val="22"/>
          <w:szCs w:val="22"/>
        </w:rPr>
        <w:t xml:space="preserve">, quien ejerció el cargo de </w:t>
      </w:r>
      <w:r w:rsidR="00D050FF" w:rsidRPr="00D050FF">
        <w:rPr>
          <w:rFonts w:ascii="Arial" w:hAnsi="Arial" w:cs="Arial"/>
          <w:sz w:val="22"/>
          <w:szCs w:val="22"/>
        </w:rPr>
        <w:t>Coordinadora de la Segunda Especialidad de la Escuela Profesional de Enfermería</w:t>
      </w:r>
      <w:r w:rsidRPr="00D050FF">
        <w:rPr>
          <w:rFonts w:ascii="Arial" w:hAnsi="Arial" w:cs="Arial"/>
          <w:sz w:val="22"/>
          <w:szCs w:val="22"/>
        </w:rPr>
        <w:t xml:space="preserve">, según Resolución N° </w:t>
      </w:r>
      <w:r w:rsidR="00EB4603" w:rsidRPr="00D050FF">
        <w:rPr>
          <w:rFonts w:ascii="Arial" w:hAnsi="Arial" w:cs="Arial"/>
          <w:sz w:val="22"/>
          <w:szCs w:val="22"/>
        </w:rPr>
        <w:t>1</w:t>
      </w:r>
      <w:r w:rsidR="00D050FF" w:rsidRPr="00D050FF">
        <w:rPr>
          <w:rFonts w:ascii="Arial" w:hAnsi="Arial" w:cs="Arial"/>
          <w:sz w:val="22"/>
          <w:szCs w:val="22"/>
        </w:rPr>
        <w:t>00</w:t>
      </w:r>
      <w:r w:rsidRPr="00D050FF">
        <w:rPr>
          <w:rFonts w:ascii="Arial" w:hAnsi="Arial" w:cs="Arial"/>
          <w:sz w:val="22"/>
          <w:szCs w:val="22"/>
        </w:rPr>
        <w:t xml:space="preserve">-2015-D/FCS de fecha </w:t>
      </w:r>
      <w:r w:rsidR="00EB4603" w:rsidRPr="00D050FF">
        <w:rPr>
          <w:rFonts w:ascii="Arial" w:hAnsi="Arial" w:cs="Arial"/>
          <w:sz w:val="22"/>
          <w:szCs w:val="22"/>
        </w:rPr>
        <w:t>2</w:t>
      </w:r>
      <w:r w:rsidR="00D050FF" w:rsidRPr="00D050FF">
        <w:rPr>
          <w:rFonts w:ascii="Arial" w:hAnsi="Arial" w:cs="Arial"/>
          <w:sz w:val="22"/>
          <w:szCs w:val="22"/>
        </w:rPr>
        <w:t>6 de agosto</w:t>
      </w:r>
      <w:r w:rsidRPr="00D050FF">
        <w:rPr>
          <w:rFonts w:ascii="Arial" w:hAnsi="Arial" w:cs="Arial"/>
          <w:sz w:val="22"/>
          <w:szCs w:val="22"/>
        </w:rPr>
        <w:t xml:space="preserve"> de 2015.</w:t>
      </w:r>
    </w:p>
    <w:p w:rsidR="00F15992" w:rsidRDefault="00F15992" w:rsidP="00D050FF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15992" w:rsidRPr="00D050FF" w:rsidRDefault="00FC5947" w:rsidP="00D050FF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050FF">
        <w:rPr>
          <w:rFonts w:ascii="Arial" w:hAnsi="Arial" w:cs="Arial"/>
          <w:sz w:val="22"/>
          <w:szCs w:val="22"/>
        </w:rPr>
        <w:t>Transcribir la presente Resolución a las unidades académicas de la Facultad de C</w:t>
      </w:r>
      <w:r w:rsidR="00773A50" w:rsidRPr="00D050FF">
        <w:rPr>
          <w:rFonts w:ascii="Arial" w:hAnsi="Arial" w:cs="Arial"/>
          <w:sz w:val="22"/>
          <w:szCs w:val="22"/>
        </w:rPr>
        <w:t xml:space="preserve">iencias de la Salud e </w:t>
      </w:r>
      <w:r w:rsidR="00D050FF">
        <w:rPr>
          <w:rFonts w:ascii="Arial" w:hAnsi="Arial" w:cs="Arial"/>
          <w:sz w:val="22"/>
          <w:szCs w:val="22"/>
        </w:rPr>
        <w:t>interesada</w:t>
      </w:r>
      <w:r w:rsidR="00333564" w:rsidRPr="00D050FF">
        <w:rPr>
          <w:rFonts w:ascii="Arial" w:hAnsi="Arial" w:cs="Arial"/>
          <w:sz w:val="22"/>
          <w:szCs w:val="22"/>
        </w:rPr>
        <w:t>s</w:t>
      </w:r>
      <w:r w:rsidRPr="00D050FF">
        <w:rPr>
          <w:rFonts w:ascii="Arial" w:hAnsi="Arial" w:cs="Arial"/>
          <w:sz w:val="22"/>
          <w:szCs w:val="22"/>
        </w:rPr>
        <w:t xml:space="preserve"> para conocimiento y fines pertinentes</w:t>
      </w:r>
    </w:p>
    <w:p w:rsidR="00F15992" w:rsidRPr="00E258DB" w:rsidRDefault="00F15992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(FDO.): Mg. </w:t>
      </w:r>
      <w:r w:rsidR="00D050FF">
        <w:rPr>
          <w:rFonts w:ascii="Arial" w:hAnsi="Arial" w:cs="Arial"/>
          <w:sz w:val="22"/>
          <w:szCs w:val="22"/>
        </w:rPr>
        <w:t>Ana Elvira López y Rojas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3213" w:rsidRPr="00D52129" w:rsidRDefault="00D4321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Mg. </w:t>
      </w:r>
      <w:r w:rsidR="00D050FF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D050FF">
        <w:rPr>
          <w:rFonts w:asciiTheme="minorHAnsi" w:hAnsiTheme="minorHAnsi" w:cstheme="minorHAnsi"/>
          <w:sz w:val="22"/>
          <w:szCs w:val="22"/>
        </w:rPr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AF2" w:rsidRDefault="00410AF2">
      <w:r>
        <w:separator/>
      </w:r>
    </w:p>
  </w:endnote>
  <w:endnote w:type="continuationSeparator" w:id="0">
    <w:p w:rsidR="00410AF2" w:rsidRDefault="0041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AF2" w:rsidRDefault="00410AF2">
      <w:r>
        <w:separator/>
      </w:r>
    </w:p>
  </w:footnote>
  <w:footnote w:type="continuationSeparator" w:id="0">
    <w:p w:rsidR="00410AF2" w:rsidRDefault="00410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430A7"/>
    <w:multiLevelType w:val="hybridMultilevel"/>
    <w:tmpl w:val="7F1AAA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637F1"/>
    <w:rsid w:val="00074178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0F0B1A"/>
    <w:rsid w:val="00114ED8"/>
    <w:rsid w:val="001403B6"/>
    <w:rsid w:val="001651B2"/>
    <w:rsid w:val="00165D2E"/>
    <w:rsid w:val="00166AF9"/>
    <w:rsid w:val="0017288F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331919"/>
    <w:rsid w:val="00333564"/>
    <w:rsid w:val="0034795E"/>
    <w:rsid w:val="00350634"/>
    <w:rsid w:val="003576A9"/>
    <w:rsid w:val="00365D44"/>
    <w:rsid w:val="00367006"/>
    <w:rsid w:val="00371A0C"/>
    <w:rsid w:val="00380B50"/>
    <w:rsid w:val="00381F4E"/>
    <w:rsid w:val="003A0732"/>
    <w:rsid w:val="003A1E0D"/>
    <w:rsid w:val="003D1044"/>
    <w:rsid w:val="003D39DB"/>
    <w:rsid w:val="003D7513"/>
    <w:rsid w:val="00410AF2"/>
    <w:rsid w:val="0041477F"/>
    <w:rsid w:val="00423268"/>
    <w:rsid w:val="00443BFA"/>
    <w:rsid w:val="004449D3"/>
    <w:rsid w:val="00471692"/>
    <w:rsid w:val="00494B47"/>
    <w:rsid w:val="004A6D1B"/>
    <w:rsid w:val="004D1508"/>
    <w:rsid w:val="004F00B8"/>
    <w:rsid w:val="004F6201"/>
    <w:rsid w:val="00503840"/>
    <w:rsid w:val="00503B7F"/>
    <w:rsid w:val="005047F6"/>
    <w:rsid w:val="00515DA4"/>
    <w:rsid w:val="005379B2"/>
    <w:rsid w:val="0054174D"/>
    <w:rsid w:val="005612E8"/>
    <w:rsid w:val="005700E5"/>
    <w:rsid w:val="00570224"/>
    <w:rsid w:val="005F532D"/>
    <w:rsid w:val="005F6913"/>
    <w:rsid w:val="00604BDE"/>
    <w:rsid w:val="00620493"/>
    <w:rsid w:val="006238C8"/>
    <w:rsid w:val="00627C7B"/>
    <w:rsid w:val="00642C2B"/>
    <w:rsid w:val="00656E23"/>
    <w:rsid w:val="006645B1"/>
    <w:rsid w:val="00693299"/>
    <w:rsid w:val="006E42EE"/>
    <w:rsid w:val="00707650"/>
    <w:rsid w:val="00716AF6"/>
    <w:rsid w:val="007175BF"/>
    <w:rsid w:val="00731A9A"/>
    <w:rsid w:val="00740B8B"/>
    <w:rsid w:val="007532CB"/>
    <w:rsid w:val="00771635"/>
    <w:rsid w:val="00773A50"/>
    <w:rsid w:val="0077560B"/>
    <w:rsid w:val="007B0B54"/>
    <w:rsid w:val="007B7C6F"/>
    <w:rsid w:val="007C46D6"/>
    <w:rsid w:val="007D6309"/>
    <w:rsid w:val="007E3FB6"/>
    <w:rsid w:val="007F3CCE"/>
    <w:rsid w:val="00820F6C"/>
    <w:rsid w:val="00822452"/>
    <w:rsid w:val="0084498B"/>
    <w:rsid w:val="008511D9"/>
    <w:rsid w:val="00851243"/>
    <w:rsid w:val="008A0C98"/>
    <w:rsid w:val="008A0E01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34CE"/>
    <w:rsid w:val="0098463D"/>
    <w:rsid w:val="009A20BF"/>
    <w:rsid w:val="00A04CD7"/>
    <w:rsid w:val="00A06A4A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002DB"/>
    <w:rsid w:val="00B2550C"/>
    <w:rsid w:val="00B35E70"/>
    <w:rsid w:val="00B53F99"/>
    <w:rsid w:val="00B70991"/>
    <w:rsid w:val="00B71395"/>
    <w:rsid w:val="00BA00C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D3EAC"/>
    <w:rsid w:val="00CD7A65"/>
    <w:rsid w:val="00D050FF"/>
    <w:rsid w:val="00D06CB8"/>
    <w:rsid w:val="00D06EDD"/>
    <w:rsid w:val="00D16553"/>
    <w:rsid w:val="00D43213"/>
    <w:rsid w:val="00D464C0"/>
    <w:rsid w:val="00D57FDB"/>
    <w:rsid w:val="00D714CC"/>
    <w:rsid w:val="00D75A4B"/>
    <w:rsid w:val="00DA7439"/>
    <w:rsid w:val="00DB0CC3"/>
    <w:rsid w:val="00DC77D4"/>
    <w:rsid w:val="00DD0FF0"/>
    <w:rsid w:val="00DF550F"/>
    <w:rsid w:val="00E23F1B"/>
    <w:rsid w:val="00E258DB"/>
    <w:rsid w:val="00E61B28"/>
    <w:rsid w:val="00E73E87"/>
    <w:rsid w:val="00EB4603"/>
    <w:rsid w:val="00EC25BA"/>
    <w:rsid w:val="00EC2BE9"/>
    <w:rsid w:val="00EC6A55"/>
    <w:rsid w:val="00ED4A37"/>
    <w:rsid w:val="00F1104B"/>
    <w:rsid w:val="00F15992"/>
    <w:rsid w:val="00F2247D"/>
    <w:rsid w:val="00F23AD2"/>
    <w:rsid w:val="00F41891"/>
    <w:rsid w:val="00F67791"/>
    <w:rsid w:val="00F678D9"/>
    <w:rsid w:val="00F73705"/>
    <w:rsid w:val="00F74DCE"/>
    <w:rsid w:val="00F944DE"/>
    <w:rsid w:val="00FA03E1"/>
    <w:rsid w:val="00FA7BDB"/>
    <w:rsid w:val="00FC5947"/>
    <w:rsid w:val="00FD48F9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9BF8-59D5-46A2-A650-DE1FC4D4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6</cp:revision>
  <cp:lastPrinted>2016-03-30T00:33:00Z</cp:lastPrinted>
  <dcterms:created xsi:type="dcterms:W3CDTF">2016-03-29T23:41:00Z</dcterms:created>
  <dcterms:modified xsi:type="dcterms:W3CDTF">2016-03-30T01:07:00Z</dcterms:modified>
</cp:coreProperties>
</file>