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8E4492" w:rsidRPr="00032AFD" w:rsidRDefault="008E4492" w:rsidP="008E449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Callao, 15 de Marzo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2017.</w:t>
      </w:r>
    </w:p>
    <w:p w:rsidR="008E4492" w:rsidRPr="00032AFD" w:rsidRDefault="008E4492" w:rsidP="008E449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8E4492" w:rsidRPr="00032AFD" w:rsidRDefault="008E4492" w:rsidP="008E44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Señor:</w:t>
      </w:r>
    </w:p>
    <w:p w:rsidR="008E4492" w:rsidRPr="00032AFD" w:rsidRDefault="008E4492" w:rsidP="008E449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8E4492" w:rsidRPr="00032AFD" w:rsidRDefault="008E4492" w:rsidP="008E449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Presente.-</w:t>
      </w:r>
      <w:r w:rsidRPr="00032AFD">
        <w:rPr>
          <w:rFonts w:ascii="Arial Narrow" w:hAnsi="Arial Narrow"/>
          <w:sz w:val="22"/>
          <w:szCs w:val="22"/>
          <w:lang w:val="es-MX"/>
        </w:rPr>
        <w:tab/>
      </w:r>
    </w:p>
    <w:p w:rsidR="008E4492" w:rsidRPr="00032AFD" w:rsidRDefault="008E4492" w:rsidP="008E449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8E4492" w:rsidRPr="00032AFD" w:rsidRDefault="008E4492" w:rsidP="008E44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Con fecha 15 de </w:t>
      </w:r>
      <w:proofErr w:type="gramStart"/>
      <w:r w:rsidRPr="00032AFD">
        <w:rPr>
          <w:rFonts w:ascii="Arial Narrow" w:hAnsi="Arial Narrow"/>
          <w:sz w:val="22"/>
          <w:szCs w:val="22"/>
          <w:lang w:val="es-MX"/>
        </w:rPr>
        <w:t>Marzo</w:t>
      </w:r>
      <w:proofErr w:type="gramEnd"/>
      <w:r w:rsidRPr="00032AFD">
        <w:rPr>
          <w:rFonts w:ascii="Arial Narrow" w:hAnsi="Arial Narrow"/>
          <w:sz w:val="22"/>
          <w:szCs w:val="22"/>
          <w:lang w:val="es-MX"/>
        </w:rPr>
        <w:t xml:space="preserve">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8E4492" w:rsidRPr="00032AFD" w:rsidRDefault="008E4492" w:rsidP="008E44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32AFD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Nº 3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.- Callao, Marzo 15 del 2017.- EL </w:t>
      </w:r>
      <w:r w:rsidRPr="00032AFD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075877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77538" w:rsidRPr="000D5F38" w:rsidRDefault="00075877" w:rsidP="0007587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pedido de la Dra. Arcelia Olga Rojas Salazar,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Presidenta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del Consejo de Facultad de designar </w:t>
      </w:r>
      <w:r w:rsidR="00977538"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 w:rsidR="00977538">
        <w:rPr>
          <w:rFonts w:ascii="Arial Narrow" w:hAnsi="Arial Narrow" w:cs="Arial"/>
          <w:sz w:val="22"/>
          <w:szCs w:val="22"/>
        </w:rPr>
        <w:t xml:space="preserve">el </w:t>
      </w:r>
      <w:r w:rsidR="00977538" w:rsidRPr="000D5F38">
        <w:rPr>
          <w:rFonts w:ascii="Arial Narrow" w:hAnsi="Arial Narrow" w:cs="Arial"/>
          <w:sz w:val="22"/>
          <w:szCs w:val="22"/>
        </w:rPr>
        <w:t>Ciclo de Taller para la obtención del Título de Segunda Especiali</w:t>
      </w:r>
      <w:r>
        <w:rPr>
          <w:rFonts w:ascii="Arial Narrow" w:hAnsi="Arial Narrow" w:cs="Arial"/>
          <w:sz w:val="22"/>
          <w:szCs w:val="22"/>
        </w:rPr>
        <w:t>zación</w:t>
      </w:r>
      <w:r w:rsidR="00977538" w:rsidRPr="000D5F38">
        <w:rPr>
          <w:rFonts w:ascii="Arial Narrow" w:hAnsi="Arial Narrow" w:cs="Arial"/>
          <w:sz w:val="22"/>
          <w:szCs w:val="22"/>
        </w:rPr>
        <w:t xml:space="preserve"> Profesional por la Modalidad de Informe de Experiencia Laboral Profesional 201</w:t>
      </w:r>
      <w:r>
        <w:rPr>
          <w:rFonts w:ascii="Arial Narrow" w:hAnsi="Arial Narrow" w:cs="Arial"/>
          <w:sz w:val="22"/>
          <w:szCs w:val="22"/>
        </w:rPr>
        <w:t>7</w:t>
      </w:r>
      <w:r w:rsidR="00977538" w:rsidRPr="000D5F38">
        <w:rPr>
          <w:rFonts w:ascii="Arial Narrow" w:hAnsi="Arial Narrow" w:cs="Arial"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8E4492" w:rsidRPr="00032AFD">
        <w:rPr>
          <w:rFonts w:ascii="Arial Narrow" w:hAnsi="Arial Narrow"/>
          <w:sz w:val="22"/>
          <w:szCs w:val="22"/>
          <w:lang w:val="es-MX"/>
        </w:rPr>
        <w:t xml:space="preserve">15 de Marzo </w:t>
      </w:r>
      <w:r w:rsidR="008E4492" w:rsidRPr="00032AFD">
        <w:rPr>
          <w:rFonts w:ascii="Arial Narrow" w:hAnsi="Arial Narrow"/>
          <w:sz w:val="22"/>
          <w:szCs w:val="22"/>
        </w:rPr>
        <w:t xml:space="preserve">del </w:t>
      </w:r>
      <w:r w:rsidR="008E4492" w:rsidRPr="00032AFD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al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6B1DD8" w:rsidRPr="006B1DD8">
        <w:rPr>
          <w:rFonts w:ascii="Arial Narrow" w:hAnsi="Arial Narrow"/>
          <w:b/>
          <w:sz w:val="22"/>
          <w:szCs w:val="22"/>
        </w:rPr>
        <w:t>DR. CÉSAR MIGUEL GUEVARA LLACZA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 xml:space="preserve">Coordinador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6B1DD8">
        <w:rPr>
          <w:rFonts w:ascii="Arial Narrow" w:hAnsi="Arial Narrow"/>
          <w:b/>
          <w:sz w:val="22"/>
          <w:szCs w:val="22"/>
        </w:rPr>
        <w:t>I</w:t>
      </w:r>
      <w:r w:rsidR="008E4492">
        <w:rPr>
          <w:rFonts w:ascii="Arial Narrow" w:hAnsi="Arial Narrow"/>
          <w:b/>
          <w:sz w:val="22"/>
          <w:szCs w:val="22"/>
        </w:rPr>
        <w:t>X</w:t>
      </w:r>
      <w:bookmarkStart w:id="0" w:name="_GoBack"/>
      <w:bookmarkEnd w:id="0"/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07" w:rsidRDefault="00432107" w:rsidP="00D025DC">
      <w:r>
        <w:separator/>
      </w:r>
    </w:p>
  </w:endnote>
  <w:endnote w:type="continuationSeparator" w:id="0">
    <w:p w:rsidR="00432107" w:rsidRDefault="00432107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07" w:rsidRDefault="00432107" w:rsidP="00D025DC">
      <w:r>
        <w:separator/>
      </w:r>
    </w:p>
  </w:footnote>
  <w:footnote w:type="continuationSeparator" w:id="0">
    <w:p w:rsidR="00432107" w:rsidRDefault="00432107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D5F38"/>
    <w:rsid w:val="000E0726"/>
    <w:rsid w:val="000E43AD"/>
    <w:rsid w:val="000F15C9"/>
    <w:rsid w:val="00117E72"/>
    <w:rsid w:val="00120BEB"/>
    <w:rsid w:val="00135220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01CA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928A0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2107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1DD8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8E4492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745EF"/>
    <w:rsid w:val="00B83C95"/>
    <w:rsid w:val="00B84A8C"/>
    <w:rsid w:val="00B915A4"/>
    <w:rsid w:val="00BA535D"/>
    <w:rsid w:val="00BB439A"/>
    <w:rsid w:val="00BB4F37"/>
    <w:rsid w:val="00BE6241"/>
    <w:rsid w:val="00BF47CF"/>
    <w:rsid w:val="00C04B5B"/>
    <w:rsid w:val="00C16BCC"/>
    <w:rsid w:val="00C234DB"/>
    <w:rsid w:val="00C4440A"/>
    <w:rsid w:val="00C57695"/>
    <w:rsid w:val="00C70F5B"/>
    <w:rsid w:val="00C75BC2"/>
    <w:rsid w:val="00C77AE8"/>
    <w:rsid w:val="00CC248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1E09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EDE1-A1BD-459A-B090-AABFFA44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2017-02-13T20:06:00Z</cp:lastPrinted>
  <dcterms:created xsi:type="dcterms:W3CDTF">2017-03-24T15:32:00Z</dcterms:created>
  <dcterms:modified xsi:type="dcterms:W3CDTF">2017-03-24T15:32:00Z</dcterms:modified>
</cp:coreProperties>
</file>